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16EFE" w14:textId="130A41D3" w:rsidR="001977AC" w:rsidRDefault="001977AC" w:rsidP="001977AC">
      <w:pPr>
        <w:rPr>
          <w:b/>
          <w:sz w:val="40"/>
          <w:szCs w:val="40"/>
          <w:lang w:val="en-US"/>
        </w:rPr>
      </w:pPr>
    </w:p>
    <w:p w14:paraId="0B8C054F" w14:textId="0134BF2D" w:rsidR="007065F1" w:rsidRDefault="007065F1" w:rsidP="001977AC">
      <w:pPr>
        <w:rPr>
          <w:b/>
          <w:sz w:val="40"/>
          <w:szCs w:val="40"/>
          <w:lang w:val="en-US"/>
        </w:rPr>
      </w:pPr>
    </w:p>
    <w:p w14:paraId="5F96C889" w14:textId="541E2E62" w:rsidR="007065F1" w:rsidRDefault="007065F1" w:rsidP="001977AC">
      <w:pPr>
        <w:rPr>
          <w:b/>
          <w:sz w:val="40"/>
          <w:szCs w:val="40"/>
          <w:lang w:val="en-US"/>
        </w:rPr>
      </w:pPr>
    </w:p>
    <w:p w14:paraId="24E65300" w14:textId="07B0C6ED" w:rsidR="007065F1" w:rsidRDefault="007065F1" w:rsidP="001977AC">
      <w:pPr>
        <w:rPr>
          <w:b/>
          <w:sz w:val="40"/>
          <w:szCs w:val="40"/>
          <w:lang w:val="en-US"/>
        </w:rPr>
      </w:pPr>
    </w:p>
    <w:p w14:paraId="23CC1B03" w14:textId="77777777" w:rsidR="007065F1" w:rsidRDefault="007065F1" w:rsidP="001977AC">
      <w:pPr>
        <w:rPr>
          <w:b/>
          <w:sz w:val="40"/>
          <w:szCs w:val="40"/>
          <w:lang w:val="en-US"/>
        </w:rPr>
      </w:pPr>
    </w:p>
    <w:p w14:paraId="0BFEE571" w14:textId="43F80FF9" w:rsidR="001977AC" w:rsidRPr="001977AC" w:rsidRDefault="001977AC" w:rsidP="001977AC">
      <w:pPr>
        <w:pBdr>
          <w:top w:val="single" w:sz="4" w:space="1" w:color="auto"/>
          <w:left w:val="single" w:sz="4" w:space="4" w:color="auto"/>
          <w:bottom w:val="single" w:sz="4" w:space="1" w:color="auto"/>
          <w:right w:val="single" w:sz="4" w:space="4" w:color="auto"/>
        </w:pBdr>
        <w:rPr>
          <w:b/>
          <w:sz w:val="40"/>
          <w:szCs w:val="40"/>
          <w:lang w:val="en-US"/>
        </w:rPr>
      </w:pPr>
      <w:r w:rsidRPr="001977AC">
        <w:rPr>
          <w:b/>
          <w:sz w:val="40"/>
          <w:szCs w:val="40"/>
          <w:lang w:val="en-US"/>
        </w:rPr>
        <w:t>Action 11:</w:t>
      </w:r>
    </w:p>
    <w:p w14:paraId="1EF66B43" w14:textId="0355C1F7" w:rsidR="00612C8D" w:rsidRPr="001977AC" w:rsidRDefault="001977AC" w:rsidP="001977AC">
      <w:pPr>
        <w:pBdr>
          <w:top w:val="single" w:sz="4" w:space="1" w:color="auto"/>
          <w:left w:val="single" w:sz="4" w:space="4" w:color="auto"/>
          <w:bottom w:val="single" w:sz="4" w:space="1" w:color="auto"/>
          <w:right w:val="single" w:sz="4" w:space="4" w:color="auto"/>
        </w:pBdr>
        <w:rPr>
          <w:b/>
          <w:sz w:val="40"/>
          <w:szCs w:val="40"/>
          <w:lang w:val="en-US"/>
        </w:rPr>
      </w:pPr>
      <w:r w:rsidRPr="001977AC">
        <w:rPr>
          <w:b/>
          <w:sz w:val="40"/>
          <w:szCs w:val="40"/>
          <w:lang w:val="en-US"/>
        </w:rPr>
        <w:t>An ERA for Green Transformation</w:t>
      </w:r>
    </w:p>
    <w:p w14:paraId="7C0BF415" w14:textId="2D93AAB7" w:rsidR="001977AC" w:rsidRPr="001977AC" w:rsidRDefault="001977AC" w:rsidP="00612C8D">
      <w:pPr>
        <w:rPr>
          <w:lang w:val="en-US"/>
        </w:rPr>
      </w:pPr>
    </w:p>
    <w:p w14:paraId="116C69F7" w14:textId="64C82C09" w:rsidR="001977AC" w:rsidRPr="001977AC" w:rsidRDefault="001977AC" w:rsidP="00612C8D">
      <w:pPr>
        <w:rPr>
          <w:lang w:val="en-US"/>
        </w:rPr>
      </w:pPr>
      <w:r w:rsidRPr="001977AC">
        <w:rPr>
          <w:lang w:val="en-US"/>
        </w:rPr>
        <w:br w:type="page"/>
      </w:r>
    </w:p>
    <w:tbl>
      <w:tblPr>
        <w:tblStyle w:val="TableGrid"/>
        <w:tblW w:w="0" w:type="auto"/>
        <w:jc w:val="center"/>
        <w:tblCellMar>
          <w:top w:w="113" w:type="dxa"/>
          <w:bottom w:w="113" w:type="dxa"/>
        </w:tblCellMar>
        <w:tblLook w:val="04A0" w:firstRow="1" w:lastRow="0" w:firstColumn="1" w:lastColumn="0" w:noHBand="0" w:noVBand="1"/>
      </w:tblPr>
      <w:tblGrid>
        <w:gridCol w:w="8632"/>
      </w:tblGrid>
      <w:tr w:rsidR="001977AC" w14:paraId="07E12B33" w14:textId="77777777" w:rsidTr="007065F1">
        <w:trPr>
          <w:jc w:val="center"/>
        </w:trPr>
        <w:tc>
          <w:tcPr>
            <w:tcW w:w="8632" w:type="dxa"/>
            <w:tcBorders>
              <w:top w:val="single" w:sz="12" w:space="0" w:color="auto"/>
              <w:left w:val="single" w:sz="12" w:space="0" w:color="auto"/>
              <w:right w:val="single" w:sz="12" w:space="0" w:color="auto"/>
            </w:tcBorders>
            <w:shd w:val="clear" w:color="auto" w:fill="000000" w:themeFill="text1"/>
          </w:tcPr>
          <w:p w14:paraId="47D66B5A" w14:textId="77777777" w:rsidR="001977AC" w:rsidRPr="00387B96" w:rsidRDefault="001977AC" w:rsidP="007037E4">
            <w:pPr>
              <w:rPr>
                <w:b/>
              </w:rPr>
            </w:pPr>
            <w:r w:rsidRPr="00387B96">
              <w:rPr>
                <w:b/>
              </w:rPr>
              <w:lastRenderedPageBreak/>
              <w:t>Action 1</w:t>
            </w:r>
            <w:r>
              <w:rPr>
                <w:b/>
              </w:rPr>
              <w:t>1</w:t>
            </w:r>
            <w:r w:rsidRPr="00387B96">
              <w:rPr>
                <w:b/>
              </w:rPr>
              <w:t xml:space="preserve">: </w:t>
            </w:r>
            <w:r w:rsidRPr="00C323F2">
              <w:rPr>
                <w:b/>
              </w:rPr>
              <w:t>An ERA for Green Transformation</w:t>
            </w:r>
          </w:p>
        </w:tc>
      </w:tr>
      <w:tr w:rsidR="001977AC" w14:paraId="766FA587" w14:textId="77777777" w:rsidTr="007065F1">
        <w:trPr>
          <w:jc w:val="center"/>
        </w:trPr>
        <w:tc>
          <w:tcPr>
            <w:tcW w:w="8632" w:type="dxa"/>
            <w:tcBorders>
              <w:left w:val="single" w:sz="12" w:space="0" w:color="auto"/>
              <w:right w:val="single" w:sz="12" w:space="0" w:color="auto"/>
            </w:tcBorders>
          </w:tcPr>
          <w:p w14:paraId="7D723830" w14:textId="77777777" w:rsidR="001977AC" w:rsidRDefault="001977AC" w:rsidP="007037E4">
            <w:pPr>
              <w:rPr>
                <w:rFonts w:ascii="Calibri" w:eastAsia="Calibri" w:hAnsi="Calibri" w:cs="Calibri"/>
              </w:rPr>
            </w:pPr>
            <w:r w:rsidRPr="62E0D263">
              <w:rPr>
                <w:rFonts w:ascii="Calibri" w:eastAsia="Calibri" w:hAnsi="Calibri" w:cs="Calibri"/>
              </w:rPr>
              <w:t>Member State/associated country/</w:t>
            </w:r>
            <w:proofErr w:type="spellStart"/>
            <w:r w:rsidRPr="62E0D263">
              <w:rPr>
                <w:rFonts w:ascii="Calibri" w:eastAsia="Calibri" w:hAnsi="Calibri" w:cs="Calibri"/>
              </w:rPr>
              <w:t>stakeholder</w:t>
            </w:r>
            <w:r>
              <w:rPr>
                <w:rFonts w:ascii="Calibri" w:eastAsia="Calibri" w:hAnsi="Calibri" w:cs="Calibri"/>
                <w:vertAlign w:val="superscript"/>
              </w:rPr>
              <w:t>1</w:t>
            </w:r>
            <w:proofErr w:type="spellEnd"/>
            <w:r w:rsidRPr="62E0D263">
              <w:rPr>
                <w:rFonts w:ascii="Calibri" w:eastAsia="Calibri" w:hAnsi="Calibri" w:cs="Calibri"/>
              </w:rPr>
              <w:t>:</w:t>
            </w:r>
          </w:p>
          <w:p w14:paraId="065143C8" w14:textId="77777777" w:rsidR="001649EC" w:rsidRDefault="001649EC" w:rsidP="007037E4">
            <w:pPr>
              <w:rPr>
                <w:rFonts w:ascii="Calibri" w:eastAsia="Calibri" w:hAnsi="Calibri" w:cs="Calibri"/>
              </w:rPr>
            </w:pPr>
          </w:p>
          <w:p w14:paraId="6D9593AC" w14:textId="77777777" w:rsidR="001649EC" w:rsidRDefault="001649EC" w:rsidP="007037E4">
            <w:pPr>
              <w:rPr>
                <w:rFonts w:ascii="Calibri" w:eastAsia="Calibri" w:hAnsi="Calibri" w:cs="Calibri"/>
              </w:rPr>
            </w:pPr>
          </w:p>
          <w:p w14:paraId="6442EC49" w14:textId="5CE8E492" w:rsidR="001649EC" w:rsidRDefault="001649EC" w:rsidP="007037E4">
            <w:pPr>
              <w:rPr>
                <w:rFonts w:ascii="Calibri" w:eastAsia="Calibri" w:hAnsi="Calibri" w:cs="Calibri"/>
              </w:rPr>
            </w:pPr>
          </w:p>
        </w:tc>
      </w:tr>
      <w:tr w:rsidR="001977AC" w14:paraId="312ECF7E" w14:textId="77777777" w:rsidTr="007065F1">
        <w:trPr>
          <w:jc w:val="center"/>
        </w:trPr>
        <w:tc>
          <w:tcPr>
            <w:tcW w:w="8632" w:type="dxa"/>
            <w:tcBorders>
              <w:left w:val="single" w:sz="12" w:space="0" w:color="auto"/>
              <w:right w:val="single" w:sz="12" w:space="0" w:color="auto"/>
            </w:tcBorders>
          </w:tcPr>
          <w:p w14:paraId="342E134C" w14:textId="030F2FF9" w:rsidR="001977AC" w:rsidRDefault="001977AC" w:rsidP="007037E4">
            <w:pPr>
              <w:spacing w:line="257" w:lineRule="auto"/>
            </w:pPr>
            <w:r w:rsidRPr="62E0D263">
              <w:rPr>
                <w:rFonts w:ascii="Calibri" w:eastAsia="Calibri" w:hAnsi="Calibri" w:cs="Calibri"/>
              </w:rPr>
              <w:t xml:space="preserve">Lead entity at national level and contact </w:t>
            </w:r>
            <w:proofErr w:type="spellStart"/>
            <w:r w:rsidRPr="62E0D263">
              <w:rPr>
                <w:rFonts w:ascii="Calibri" w:eastAsia="Calibri" w:hAnsi="Calibri" w:cs="Calibri"/>
              </w:rPr>
              <w:t>person</w:t>
            </w:r>
            <w:r>
              <w:rPr>
                <w:rFonts w:ascii="Calibri" w:eastAsia="Calibri" w:hAnsi="Calibri" w:cs="Calibri"/>
                <w:vertAlign w:val="superscript"/>
              </w:rPr>
              <w:t>1</w:t>
            </w:r>
            <w:proofErr w:type="spellEnd"/>
            <w:r w:rsidRPr="62E0D263">
              <w:rPr>
                <w:rFonts w:ascii="Calibri" w:eastAsia="Calibri" w:hAnsi="Calibri" w:cs="Calibri"/>
              </w:rPr>
              <w:t>:</w:t>
            </w:r>
          </w:p>
          <w:p w14:paraId="1B70FEDE" w14:textId="77777777" w:rsidR="001977AC" w:rsidRDefault="001977AC" w:rsidP="007037E4">
            <w:pPr>
              <w:rPr>
                <w:rFonts w:ascii="Calibri" w:eastAsia="Calibri" w:hAnsi="Calibri" w:cs="Calibri"/>
                <w:i/>
                <w:iCs/>
                <w:sz w:val="18"/>
                <w:szCs w:val="18"/>
              </w:rPr>
            </w:pPr>
            <w:r w:rsidRPr="62E0D263">
              <w:rPr>
                <w:rFonts w:ascii="Calibri" w:eastAsia="Calibri" w:hAnsi="Calibri" w:cs="Calibri"/>
                <w:i/>
                <w:iCs/>
                <w:sz w:val="18"/>
                <w:szCs w:val="18"/>
              </w:rPr>
              <w:t>[Indicate the organisation, name, position, e-mail address.]</w:t>
            </w:r>
          </w:p>
          <w:p w14:paraId="093C87C5" w14:textId="77777777" w:rsidR="001649EC" w:rsidRDefault="001649EC" w:rsidP="007037E4">
            <w:pPr>
              <w:rPr>
                <w:rFonts w:ascii="Calibri" w:eastAsia="Calibri" w:hAnsi="Calibri" w:cs="Calibri"/>
                <w:i/>
                <w:iCs/>
                <w:sz w:val="18"/>
                <w:szCs w:val="18"/>
              </w:rPr>
            </w:pPr>
          </w:p>
          <w:p w14:paraId="19571256" w14:textId="77777777" w:rsidR="001649EC" w:rsidRDefault="001649EC" w:rsidP="007037E4">
            <w:pPr>
              <w:rPr>
                <w:rFonts w:ascii="Calibri" w:eastAsia="Calibri" w:hAnsi="Calibri" w:cs="Calibri"/>
                <w:i/>
                <w:iCs/>
                <w:sz w:val="18"/>
                <w:szCs w:val="18"/>
              </w:rPr>
            </w:pPr>
          </w:p>
          <w:p w14:paraId="66A709C6" w14:textId="16FCAF12" w:rsidR="001649EC" w:rsidRDefault="001649EC" w:rsidP="007037E4">
            <w:pPr>
              <w:rPr>
                <w:rFonts w:ascii="Calibri" w:eastAsia="Calibri" w:hAnsi="Calibri" w:cs="Calibri"/>
                <w:i/>
                <w:iCs/>
                <w:sz w:val="18"/>
                <w:szCs w:val="18"/>
              </w:rPr>
            </w:pPr>
          </w:p>
        </w:tc>
      </w:tr>
      <w:tr w:rsidR="001977AC" w14:paraId="5294A353" w14:textId="77777777" w:rsidTr="007065F1">
        <w:trPr>
          <w:trHeight w:val="1579"/>
          <w:jc w:val="center"/>
        </w:trPr>
        <w:tc>
          <w:tcPr>
            <w:tcW w:w="8632" w:type="dxa"/>
            <w:tcBorders>
              <w:left w:val="single" w:sz="12" w:space="0" w:color="auto"/>
              <w:right w:val="single" w:sz="12" w:space="0" w:color="auto"/>
            </w:tcBorders>
          </w:tcPr>
          <w:p w14:paraId="6BDAD117" w14:textId="77777777" w:rsidR="001977AC" w:rsidRDefault="001977AC" w:rsidP="007037E4">
            <w:pPr>
              <w:spacing w:line="257" w:lineRule="auto"/>
            </w:pPr>
            <w:r w:rsidRPr="62E0D263">
              <w:rPr>
                <w:rFonts w:ascii="Calibri" w:eastAsia="Calibri" w:hAnsi="Calibri" w:cs="Calibri"/>
              </w:rPr>
              <w:t>The action includes the following types of activities:</w:t>
            </w:r>
          </w:p>
          <w:p w14:paraId="449441A9" w14:textId="77777777" w:rsidR="001977AC" w:rsidRDefault="001977AC" w:rsidP="007037E4">
            <w:pPr>
              <w:spacing w:line="257" w:lineRule="auto"/>
            </w:pPr>
            <w:r w:rsidRPr="62E0D263">
              <w:rPr>
                <w:rFonts w:ascii="Calibri" w:eastAsia="Calibri" w:hAnsi="Calibri" w:cs="Calibri"/>
                <w:i/>
                <w:iCs/>
                <w:sz w:val="18"/>
                <w:szCs w:val="18"/>
              </w:rPr>
              <w:t>[These are examples of activities, in which the country or organisation could participate in. For more detailed information, including the objectives, please refer to the explanatory document(s) of this action.]</w:t>
            </w:r>
          </w:p>
          <w:p w14:paraId="06A7D63A" w14:textId="77777777" w:rsidR="001977AC" w:rsidRDefault="001977AC" w:rsidP="007037E4">
            <w:pPr>
              <w:spacing w:line="257" w:lineRule="auto"/>
              <w:rPr>
                <w:rFonts w:ascii="Calibri" w:eastAsia="Calibri" w:hAnsi="Calibri" w:cs="Calibri"/>
                <w:i/>
                <w:iCs/>
                <w:sz w:val="18"/>
                <w:szCs w:val="18"/>
              </w:rPr>
            </w:pPr>
          </w:p>
          <w:p w14:paraId="6FD21CC6" w14:textId="77777777" w:rsidR="001977AC" w:rsidRPr="001977AC" w:rsidRDefault="001977AC" w:rsidP="007037E4">
            <w:pPr>
              <w:spacing w:after="120" w:line="360" w:lineRule="auto"/>
              <w:ind w:right="318"/>
              <w:rPr>
                <w:sz w:val="20"/>
                <w:szCs w:val="20"/>
              </w:rPr>
            </w:pPr>
            <w:r w:rsidRPr="001977AC">
              <w:rPr>
                <w:sz w:val="20"/>
                <w:szCs w:val="20"/>
                <w:u w:val="single"/>
              </w:rPr>
              <w:t>Outcome 11.1:</w:t>
            </w:r>
            <w:r w:rsidRPr="001977AC">
              <w:rPr>
                <w:sz w:val="20"/>
                <w:szCs w:val="20"/>
              </w:rPr>
              <w:t xml:space="preserve"> </w:t>
            </w:r>
            <w:bookmarkStart w:id="0" w:name="_Toc77006190"/>
            <w:r w:rsidRPr="001977AC">
              <w:rPr>
                <w:sz w:val="20"/>
                <w:szCs w:val="20"/>
              </w:rPr>
              <w:t xml:space="preserve">Building an </w:t>
            </w:r>
            <w:proofErr w:type="spellStart"/>
            <w:r w:rsidRPr="001977AC">
              <w:rPr>
                <w:sz w:val="20"/>
                <w:szCs w:val="20"/>
              </w:rPr>
              <w:t>R&amp;I</w:t>
            </w:r>
            <w:proofErr w:type="spellEnd"/>
            <w:r w:rsidRPr="001977AC">
              <w:rPr>
                <w:sz w:val="20"/>
                <w:szCs w:val="20"/>
              </w:rPr>
              <w:t xml:space="preserve"> ERA Pilot on Green Hydrogen</w:t>
            </w:r>
            <w:bookmarkEnd w:id="0"/>
            <w:r w:rsidRPr="001977AC">
              <w:rPr>
                <w:sz w:val="20"/>
                <w:szCs w:val="20"/>
              </w:rPr>
              <w:t xml:space="preserve"> </w:t>
            </w:r>
          </w:p>
          <w:p w14:paraId="6AA6D07D" w14:textId="77777777" w:rsidR="001977AC" w:rsidRPr="001977AC" w:rsidRDefault="001977AC" w:rsidP="001977AC">
            <w:pPr>
              <w:pStyle w:val="ListParagraph"/>
              <w:numPr>
                <w:ilvl w:val="0"/>
                <w:numId w:val="8"/>
              </w:numPr>
              <w:spacing w:line="120" w:lineRule="atLeast"/>
              <w:rPr>
                <w:rFonts w:eastAsiaTheme="minorEastAsia"/>
                <w:color w:val="000000" w:themeColor="text1"/>
                <w:sz w:val="20"/>
                <w:szCs w:val="20"/>
              </w:rPr>
            </w:pPr>
            <w:r w:rsidRPr="001977AC">
              <w:rPr>
                <w:sz w:val="20"/>
                <w:szCs w:val="20"/>
              </w:rPr>
              <w:t>Contribute to a new Implementation Working Group (</w:t>
            </w:r>
            <w:proofErr w:type="spellStart"/>
            <w:r w:rsidRPr="001977AC">
              <w:rPr>
                <w:sz w:val="20"/>
                <w:szCs w:val="20"/>
              </w:rPr>
              <w:t>IWG</w:t>
            </w:r>
            <w:proofErr w:type="spellEnd"/>
            <w:r w:rsidRPr="001977AC">
              <w:rPr>
                <w:sz w:val="20"/>
                <w:szCs w:val="20"/>
              </w:rPr>
              <w:t xml:space="preserve">) under the revamped SET Plan. This </w:t>
            </w:r>
            <w:proofErr w:type="spellStart"/>
            <w:r w:rsidRPr="001977AC">
              <w:rPr>
                <w:sz w:val="20"/>
                <w:szCs w:val="20"/>
              </w:rPr>
              <w:t>IWG</w:t>
            </w:r>
            <w:proofErr w:type="spellEnd"/>
            <w:r w:rsidRPr="001977AC">
              <w:rPr>
                <w:sz w:val="20"/>
                <w:szCs w:val="20"/>
              </w:rPr>
              <w:t xml:space="preserve"> will provide a platform for frequent interaction with the EC and other stakeholders, as well as a platform for joint MS/ AC actions with or without EC topping up, contributing to the implementation of the </w:t>
            </w:r>
            <w:proofErr w:type="spellStart"/>
            <w:r w:rsidRPr="001977AC">
              <w:rPr>
                <w:sz w:val="20"/>
                <w:szCs w:val="20"/>
              </w:rPr>
              <w:t>SRIA</w:t>
            </w:r>
            <w:proofErr w:type="spellEnd"/>
            <w:r w:rsidRPr="001977AC">
              <w:rPr>
                <w:sz w:val="20"/>
                <w:szCs w:val="20"/>
              </w:rPr>
              <w:t xml:space="preserve"> on Green hydrogen pilot. </w:t>
            </w:r>
          </w:p>
          <w:p w14:paraId="1C992F4B" w14:textId="77777777" w:rsidR="001977AC" w:rsidRPr="001977AC" w:rsidRDefault="001977AC" w:rsidP="001977AC">
            <w:pPr>
              <w:pStyle w:val="ListParagraph"/>
              <w:numPr>
                <w:ilvl w:val="0"/>
                <w:numId w:val="8"/>
              </w:numPr>
              <w:spacing w:line="120" w:lineRule="atLeast"/>
              <w:rPr>
                <w:rFonts w:eastAsiaTheme="minorEastAsia"/>
                <w:color w:val="000000" w:themeColor="text1"/>
                <w:sz w:val="20"/>
                <w:szCs w:val="20"/>
              </w:rPr>
            </w:pPr>
            <w:r w:rsidRPr="001977AC">
              <w:rPr>
                <w:sz w:val="20"/>
                <w:szCs w:val="20"/>
              </w:rPr>
              <w:t xml:space="preserve">Complementary  activities as prepared by the Commission Staff Working Document on </w:t>
            </w:r>
            <w:proofErr w:type="spellStart"/>
            <w:r w:rsidRPr="001977AC">
              <w:rPr>
                <w:sz w:val="20"/>
                <w:szCs w:val="20"/>
              </w:rPr>
              <w:t>R&amp;I</w:t>
            </w:r>
            <w:proofErr w:type="spellEnd"/>
            <w:r w:rsidRPr="001977AC">
              <w:rPr>
                <w:sz w:val="20"/>
                <w:szCs w:val="20"/>
              </w:rPr>
              <w:t xml:space="preserve"> to implement the Hydrogen Strategy may include to contribute to:</w:t>
            </w:r>
          </w:p>
          <w:p w14:paraId="3BB80898" w14:textId="77777777" w:rsidR="001977AC" w:rsidRPr="001977AC" w:rsidRDefault="001977AC" w:rsidP="001977AC">
            <w:pPr>
              <w:pStyle w:val="ListParagraph"/>
              <w:numPr>
                <w:ilvl w:val="1"/>
                <w:numId w:val="8"/>
              </w:numPr>
              <w:spacing w:line="120" w:lineRule="atLeast"/>
              <w:rPr>
                <w:rFonts w:eastAsiaTheme="minorEastAsia"/>
                <w:color w:val="000000" w:themeColor="text1"/>
                <w:sz w:val="20"/>
                <w:szCs w:val="20"/>
              </w:rPr>
            </w:pPr>
            <w:r w:rsidRPr="001977AC">
              <w:rPr>
                <w:sz w:val="20"/>
                <w:szCs w:val="20"/>
              </w:rPr>
              <w:t xml:space="preserve">The joint development of a Clean Hydrogen Observatory (EU CHO) with a view to progressively integrate  national data to populate the existing data base at EU level and keeping up-to-date the database and the Observatory, for a wider public access in a long run. </w:t>
            </w:r>
          </w:p>
          <w:p w14:paraId="1E2E797A" w14:textId="77777777" w:rsidR="001977AC" w:rsidRPr="001977AC" w:rsidRDefault="001977AC" w:rsidP="001977AC">
            <w:pPr>
              <w:pStyle w:val="ListParagraph"/>
              <w:numPr>
                <w:ilvl w:val="1"/>
                <w:numId w:val="8"/>
              </w:numPr>
              <w:spacing w:line="120" w:lineRule="atLeast"/>
              <w:rPr>
                <w:rFonts w:eastAsiaTheme="minorEastAsia"/>
                <w:color w:val="000000" w:themeColor="text1"/>
                <w:sz w:val="20"/>
                <w:szCs w:val="20"/>
              </w:rPr>
            </w:pPr>
            <w:r w:rsidRPr="001977AC">
              <w:rPr>
                <w:sz w:val="20"/>
                <w:szCs w:val="20"/>
              </w:rPr>
              <w:t xml:space="preserve">The improvements of education and skills, based on the already agreed ERASMUS + project, developing curricula and trainings for the most relevant jobs in hydrogen (including operation and maintenance) and preparing for disseminating to education and training institutes in Member States </w:t>
            </w:r>
          </w:p>
          <w:p w14:paraId="77F6F105" w14:textId="77777777" w:rsidR="001977AC" w:rsidRPr="001977AC" w:rsidRDefault="001977AC" w:rsidP="001977AC">
            <w:pPr>
              <w:pStyle w:val="ListParagraph"/>
              <w:numPr>
                <w:ilvl w:val="1"/>
                <w:numId w:val="8"/>
              </w:numPr>
              <w:spacing w:line="120" w:lineRule="atLeast"/>
              <w:rPr>
                <w:rFonts w:eastAsiaTheme="minorEastAsia"/>
                <w:color w:val="000000" w:themeColor="text1"/>
                <w:sz w:val="20"/>
                <w:szCs w:val="20"/>
              </w:rPr>
            </w:pPr>
            <w:r w:rsidRPr="001977AC">
              <w:rPr>
                <w:sz w:val="20"/>
                <w:szCs w:val="20"/>
              </w:rPr>
              <w:t>The acceleration of the pre-market step of the hydrogen value chain through completing the holes in testing infrastructures for hydrogen technologies (e.g.  call on Open Innovation Test Beds for hydrogen), including systematic check of regulatory compliance and life cycle assessment;</w:t>
            </w:r>
          </w:p>
          <w:p w14:paraId="57893364" w14:textId="77777777" w:rsidR="001977AC" w:rsidRPr="001977AC" w:rsidRDefault="001977AC" w:rsidP="007037E4">
            <w:pPr>
              <w:pStyle w:val="ListParagraph"/>
              <w:numPr>
                <w:ilvl w:val="1"/>
                <w:numId w:val="1"/>
              </w:numPr>
              <w:spacing w:line="120" w:lineRule="atLeast"/>
              <w:rPr>
                <w:rFonts w:eastAsiaTheme="minorEastAsia"/>
                <w:color w:val="000000" w:themeColor="text1"/>
                <w:sz w:val="20"/>
                <w:szCs w:val="20"/>
              </w:rPr>
            </w:pPr>
            <w:r w:rsidRPr="001977AC">
              <w:rPr>
                <w:rFonts w:ascii="Calibri" w:eastAsia="Calibri" w:hAnsi="Calibri" w:cs="Calibri"/>
                <w:sz w:val="20"/>
                <w:szCs w:val="20"/>
              </w:rPr>
              <w:t xml:space="preserve"> and by</w:t>
            </w:r>
            <w:bookmarkStart w:id="1" w:name="_GoBack"/>
            <w:bookmarkEnd w:id="1"/>
            <w:r w:rsidRPr="001977AC">
              <w:rPr>
                <w:rFonts w:ascii="Calibri" w:eastAsia="Calibri" w:hAnsi="Calibri" w:cs="Calibri"/>
                <w:sz w:val="20"/>
                <w:szCs w:val="20"/>
              </w:rPr>
              <w:t xml:space="preserve"> expanding the European landscape of hydrogen valleys through regional, national, joint MS and/or MS-EU initiatives</w:t>
            </w:r>
            <w:r w:rsidRPr="001977AC">
              <w:rPr>
                <w:sz w:val="20"/>
                <w:szCs w:val="20"/>
              </w:rPr>
              <w:t>.</w:t>
            </w:r>
          </w:p>
          <w:p w14:paraId="458576CB" w14:textId="77777777" w:rsidR="001977AC" w:rsidRPr="001977AC" w:rsidRDefault="001977AC" w:rsidP="007037E4">
            <w:pPr>
              <w:pStyle w:val="ListParagraph"/>
              <w:spacing w:line="120" w:lineRule="atLeast"/>
              <w:ind w:left="1440"/>
              <w:rPr>
                <w:rFonts w:eastAsiaTheme="minorEastAsia"/>
                <w:color w:val="000000" w:themeColor="text1"/>
                <w:sz w:val="20"/>
                <w:szCs w:val="20"/>
              </w:rPr>
            </w:pPr>
          </w:p>
          <w:p w14:paraId="2C2B2011" w14:textId="77777777" w:rsidR="001977AC" w:rsidRPr="001977AC" w:rsidRDefault="001977AC" w:rsidP="007037E4">
            <w:pPr>
              <w:spacing w:line="120" w:lineRule="atLeast"/>
              <w:ind w:right="318"/>
              <w:rPr>
                <w:sz w:val="20"/>
                <w:szCs w:val="20"/>
              </w:rPr>
            </w:pPr>
            <w:r w:rsidRPr="001977AC">
              <w:rPr>
                <w:sz w:val="20"/>
                <w:szCs w:val="20"/>
                <w:u w:val="single"/>
              </w:rPr>
              <w:t>Outcome 11.2:</w:t>
            </w:r>
            <w:r w:rsidRPr="001977AC">
              <w:rPr>
                <w:sz w:val="20"/>
                <w:szCs w:val="20"/>
              </w:rPr>
              <w:t xml:space="preserve"> Revamping the Strategic Energy Technology Plan</w:t>
            </w:r>
          </w:p>
          <w:p w14:paraId="0D79E93F" w14:textId="77777777" w:rsidR="001977AC" w:rsidRPr="001977AC" w:rsidRDefault="001977AC" w:rsidP="001977AC">
            <w:pPr>
              <w:pStyle w:val="ListParagraph"/>
              <w:numPr>
                <w:ilvl w:val="0"/>
                <w:numId w:val="8"/>
              </w:numPr>
              <w:spacing w:line="120" w:lineRule="atLeast"/>
              <w:ind w:right="318"/>
              <w:rPr>
                <w:sz w:val="20"/>
                <w:szCs w:val="20"/>
              </w:rPr>
            </w:pPr>
            <w:r w:rsidRPr="001977AC">
              <w:rPr>
                <w:sz w:val="20"/>
                <w:szCs w:val="20"/>
              </w:rPr>
              <w:t>Joint work between ERA members and the EC for a Communication on the Revamping of the SET Plan by the end of 2022 through committing representatives from the SET Plan Steering Group, the ERA Forum, and the National Energy and Climate Plans (</w:t>
            </w:r>
            <w:proofErr w:type="spellStart"/>
            <w:r w:rsidRPr="001977AC">
              <w:rPr>
                <w:sz w:val="20"/>
                <w:szCs w:val="20"/>
              </w:rPr>
              <w:t>NECPs</w:t>
            </w:r>
            <w:proofErr w:type="spellEnd"/>
            <w:r w:rsidRPr="001977AC">
              <w:rPr>
                <w:sz w:val="20"/>
                <w:szCs w:val="20"/>
              </w:rPr>
              <w:t xml:space="preserve">) to contribute in the process.  </w:t>
            </w:r>
          </w:p>
          <w:p w14:paraId="18F5CACA" w14:textId="77777777" w:rsidR="001977AC" w:rsidRDefault="001977AC" w:rsidP="001977AC">
            <w:pPr>
              <w:pStyle w:val="ListParagraph"/>
              <w:numPr>
                <w:ilvl w:val="0"/>
                <w:numId w:val="8"/>
              </w:numPr>
              <w:spacing w:line="120" w:lineRule="atLeast"/>
              <w:ind w:right="318"/>
              <w:rPr>
                <w:sz w:val="20"/>
                <w:szCs w:val="20"/>
              </w:rPr>
            </w:pPr>
            <w:r w:rsidRPr="001977AC">
              <w:rPr>
                <w:sz w:val="20"/>
                <w:szCs w:val="20"/>
              </w:rPr>
              <w:t xml:space="preserve">Elaborate jointly with MS and AC representatives processes (and structures if necessary) to enhance and support coordination at national level for reaching the objectives of </w:t>
            </w:r>
            <w:proofErr w:type="spellStart"/>
            <w:r w:rsidRPr="001977AC">
              <w:rPr>
                <w:sz w:val="20"/>
                <w:szCs w:val="20"/>
              </w:rPr>
              <w:t>R&amp;I</w:t>
            </w:r>
            <w:proofErr w:type="spellEnd"/>
            <w:r w:rsidRPr="001977AC">
              <w:rPr>
                <w:sz w:val="20"/>
                <w:szCs w:val="20"/>
              </w:rPr>
              <w:t xml:space="preserve"> for clean energy transition.</w:t>
            </w:r>
          </w:p>
          <w:p w14:paraId="28716400" w14:textId="77777777" w:rsidR="001977AC" w:rsidRPr="001977AC" w:rsidRDefault="001977AC" w:rsidP="007037E4">
            <w:pPr>
              <w:pStyle w:val="ListParagraph"/>
              <w:spacing w:line="120" w:lineRule="atLeast"/>
              <w:ind w:right="318"/>
              <w:rPr>
                <w:sz w:val="20"/>
                <w:szCs w:val="20"/>
              </w:rPr>
            </w:pPr>
          </w:p>
          <w:p w14:paraId="21162BD1" w14:textId="77777777" w:rsidR="001977AC" w:rsidRPr="001977AC" w:rsidRDefault="001977AC" w:rsidP="007037E4">
            <w:pPr>
              <w:spacing w:line="120" w:lineRule="atLeast"/>
              <w:ind w:right="151"/>
              <w:rPr>
                <w:sz w:val="20"/>
                <w:szCs w:val="20"/>
              </w:rPr>
            </w:pPr>
            <w:r w:rsidRPr="001977AC">
              <w:rPr>
                <w:sz w:val="20"/>
                <w:szCs w:val="20"/>
                <w:u w:val="single"/>
              </w:rPr>
              <w:t>Outcome 11.3:</w:t>
            </w:r>
            <w:r w:rsidRPr="001977AC">
              <w:rPr>
                <w:sz w:val="20"/>
                <w:szCs w:val="20"/>
              </w:rPr>
              <w:t xml:space="preserve"> Research &amp; Innovation for the Future of Work (</w:t>
            </w:r>
            <w:proofErr w:type="spellStart"/>
            <w:r w:rsidRPr="001977AC">
              <w:rPr>
                <w:b/>
                <w:bCs/>
                <w:sz w:val="20"/>
                <w:szCs w:val="20"/>
              </w:rPr>
              <w:t>ERA4FutureWork</w:t>
            </w:r>
            <w:proofErr w:type="spellEnd"/>
            <w:r w:rsidRPr="001977AC">
              <w:rPr>
                <w:sz w:val="20"/>
                <w:szCs w:val="20"/>
              </w:rPr>
              <w:t>)</w:t>
            </w:r>
          </w:p>
          <w:p w14:paraId="6A9BC644" w14:textId="77777777" w:rsidR="001977AC" w:rsidRPr="001977AC" w:rsidRDefault="001977AC" w:rsidP="001977AC">
            <w:pPr>
              <w:pStyle w:val="ListParagraph"/>
              <w:numPr>
                <w:ilvl w:val="0"/>
                <w:numId w:val="8"/>
              </w:numPr>
              <w:spacing w:line="120" w:lineRule="atLeast"/>
              <w:ind w:right="151"/>
              <w:rPr>
                <w:sz w:val="20"/>
                <w:szCs w:val="20"/>
              </w:rPr>
            </w:pPr>
            <w:r w:rsidRPr="001977AC">
              <w:rPr>
                <w:sz w:val="20"/>
                <w:szCs w:val="20"/>
              </w:rPr>
              <w:t xml:space="preserve">An authorised national expert/representative participates in 5-7 meetings with EU institutions and stakeholders, to share knowledge (relevant actions/best practices) and co-create a Strategic </w:t>
            </w:r>
            <w:proofErr w:type="spellStart"/>
            <w:r w:rsidRPr="001977AC">
              <w:rPr>
                <w:sz w:val="20"/>
                <w:szCs w:val="20"/>
              </w:rPr>
              <w:t>R&amp;I</w:t>
            </w:r>
            <w:proofErr w:type="spellEnd"/>
            <w:r w:rsidRPr="001977AC">
              <w:rPr>
                <w:sz w:val="20"/>
                <w:szCs w:val="20"/>
              </w:rPr>
              <w:t xml:space="preserve"> Agenda (</w:t>
            </w:r>
            <w:proofErr w:type="spellStart"/>
            <w:r w:rsidRPr="001977AC">
              <w:rPr>
                <w:sz w:val="20"/>
                <w:szCs w:val="20"/>
              </w:rPr>
              <w:t>SRIA</w:t>
            </w:r>
            <w:proofErr w:type="spellEnd"/>
            <w:r w:rsidRPr="001977AC">
              <w:rPr>
                <w:sz w:val="20"/>
                <w:szCs w:val="20"/>
              </w:rPr>
              <w:t xml:space="preserve">) for the future of work. </w:t>
            </w:r>
          </w:p>
          <w:p w14:paraId="75121AA2" w14:textId="77777777" w:rsidR="001977AC" w:rsidRDefault="001977AC" w:rsidP="001977AC">
            <w:pPr>
              <w:pStyle w:val="ListParagraph"/>
              <w:numPr>
                <w:ilvl w:val="0"/>
                <w:numId w:val="8"/>
              </w:numPr>
              <w:spacing w:line="120" w:lineRule="atLeast"/>
              <w:ind w:right="151"/>
            </w:pPr>
            <w:r w:rsidRPr="001977AC">
              <w:rPr>
                <w:sz w:val="20"/>
                <w:szCs w:val="20"/>
              </w:rPr>
              <w:t>Assess and potentially endorse the final output (</w:t>
            </w:r>
            <w:proofErr w:type="spellStart"/>
            <w:r w:rsidRPr="001977AC">
              <w:rPr>
                <w:sz w:val="20"/>
                <w:szCs w:val="20"/>
              </w:rPr>
              <w:t>SRIA</w:t>
            </w:r>
            <w:proofErr w:type="spellEnd"/>
            <w:r w:rsidRPr="001977AC">
              <w:rPr>
                <w:sz w:val="20"/>
                <w:szCs w:val="20"/>
              </w:rPr>
              <w:t>) for publication by the Commission.</w:t>
            </w:r>
          </w:p>
        </w:tc>
      </w:tr>
      <w:tr w:rsidR="001977AC" w14:paraId="620E7510" w14:textId="77777777" w:rsidTr="007065F1">
        <w:trPr>
          <w:jc w:val="center"/>
        </w:trPr>
        <w:tc>
          <w:tcPr>
            <w:tcW w:w="8632" w:type="dxa"/>
            <w:tcBorders>
              <w:left w:val="single" w:sz="12" w:space="0" w:color="auto"/>
              <w:right w:val="single" w:sz="12" w:space="0" w:color="auto"/>
            </w:tcBorders>
          </w:tcPr>
          <w:p w14:paraId="2B4A8557" w14:textId="2C80DCAE" w:rsidR="001977AC" w:rsidRPr="00BD2525" w:rsidRDefault="001977AC" w:rsidP="007037E4">
            <w:r w:rsidRPr="62E0D263">
              <w:rPr>
                <w:rFonts w:ascii="Calibri" w:eastAsia="Calibri" w:hAnsi="Calibri" w:cs="Calibri"/>
              </w:rPr>
              <w:lastRenderedPageBreak/>
              <w:t>Comments, planned or ongoing activities regarding the implementation of the action</w:t>
            </w:r>
            <w:r>
              <w:rPr>
                <w:rStyle w:val="FootnoteReference"/>
                <w:rFonts w:ascii="Calibri" w:eastAsia="Calibri" w:hAnsi="Calibri" w:cs="Calibri"/>
              </w:rPr>
              <w:footnoteReference w:id="1"/>
            </w:r>
            <w:r w:rsidRPr="62E0D263">
              <w:rPr>
                <w:rFonts w:ascii="Calibri" w:eastAsia="Calibri" w:hAnsi="Calibri" w:cs="Calibri"/>
              </w:rPr>
              <w:t>:</w:t>
            </w:r>
          </w:p>
          <w:p w14:paraId="3D47F7D8" w14:textId="77777777" w:rsidR="001977AC" w:rsidRDefault="001977AC" w:rsidP="001977AC">
            <w:pPr>
              <w:spacing w:line="257" w:lineRule="auto"/>
              <w:rPr>
                <w:rFonts w:ascii="Calibri" w:eastAsia="Calibri" w:hAnsi="Calibri" w:cs="Calibri"/>
                <w:i/>
                <w:iCs/>
                <w:sz w:val="18"/>
                <w:szCs w:val="18"/>
              </w:rPr>
            </w:pPr>
            <w:r w:rsidRPr="62E0D263">
              <w:rPr>
                <w:rFonts w:ascii="Calibri" w:eastAsia="Calibri" w:hAnsi="Calibri" w:cs="Calibri"/>
                <w:i/>
                <w:iCs/>
                <w:sz w:val="18"/>
                <w:szCs w:val="18"/>
              </w:rPr>
              <w:t>[Activities at the level of countries or organisations can be shared in this box. The activities could include national measures (e.g. reforms, initiatives, studies), the participation in EU-level activities, which are described in the explanatory document, and the engagement in transnational activities with other Member States, associated or third countries. Moreover, a</w:t>
            </w:r>
            <w:r>
              <w:rPr>
                <w:rFonts w:ascii="Calibri" w:eastAsia="Calibri" w:hAnsi="Calibri" w:cs="Calibri"/>
                <w:i/>
                <w:iCs/>
                <w:sz w:val="18"/>
                <w:szCs w:val="18"/>
              </w:rPr>
              <w:t>ny other comments can be added.</w:t>
            </w:r>
          </w:p>
          <w:p w14:paraId="506843A8" w14:textId="77777777" w:rsidR="001649EC" w:rsidRDefault="001649EC" w:rsidP="001977AC">
            <w:pPr>
              <w:spacing w:line="257" w:lineRule="auto"/>
              <w:rPr>
                <w:rFonts w:ascii="Calibri" w:eastAsia="Calibri" w:hAnsi="Calibri" w:cs="Calibri"/>
                <w:i/>
                <w:iCs/>
                <w:sz w:val="18"/>
                <w:szCs w:val="18"/>
              </w:rPr>
            </w:pPr>
          </w:p>
          <w:p w14:paraId="25053B79" w14:textId="77777777" w:rsidR="001649EC" w:rsidRDefault="001649EC" w:rsidP="001977AC">
            <w:pPr>
              <w:spacing w:line="257" w:lineRule="auto"/>
              <w:rPr>
                <w:rFonts w:ascii="Calibri" w:eastAsia="Calibri" w:hAnsi="Calibri" w:cs="Calibri"/>
                <w:i/>
                <w:iCs/>
                <w:sz w:val="18"/>
                <w:szCs w:val="18"/>
              </w:rPr>
            </w:pPr>
          </w:p>
          <w:p w14:paraId="3103E17B" w14:textId="77777777" w:rsidR="001649EC" w:rsidRDefault="001649EC" w:rsidP="001977AC">
            <w:pPr>
              <w:spacing w:line="257" w:lineRule="auto"/>
              <w:rPr>
                <w:rFonts w:ascii="Calibri" w:eastAsia="Calibri" w:hAnsi="Calibri" w:cs="Calibri"/>
                <w:i/>
                <w:iCs/>
                <w:sz w:val="18"/>
                <w:szCs w:val="18"/>
              </w:rPr>
            </w:pPr>
          </w:p>
          <w:p w14:paraId="1ED62C8C" w14:textId="77777777" w:rsidR="001649EC" w:rsidRDefault="001649EC" w:rsidP="001977AC">
            <w:pPr>
              <w:spacing w:line="257" w:lineRule="auto"/>
              <w:rPr>
                <w:rFonts w:ascii="Calibri" w:eastAsia="Calibri" w:hAnsi="Calibri" w:cs="Calibri"/>
                <w:i/>
                <w:iCs/>
                <w:sz w:val="18"/>
                <w:szCs w:val="18"/>
              </w:rPr>
            </w:pPr>
          </w:p>
          <w:p w14:paraId="43D6E097" w14:textId="77777777" w:rsidR="001649EC" w:rsidRDefault="001649EC" w:rsidP="001977AC">
            <w:pPr>
              <w:spacing w:line="257" w:lineRule="auto"/>
              <w:rPr>
                <w:rFonts w:ascii="Calibri" w:eastAsia="Calibri" w:hAnsi="Calibri" w:cs="Calibri"/>
                <w:i/>
                <w:iCs/>
                <w:sz w:val="18"/>
                <w:szCs w:val="18"/>
              </w:rPr>
            </w:pPr>
          </w:p>
          <w:p w14:paraId="6888A529" w14:textId="77777777" w:rsidR="001649EC" w:rsidRDefault="001649EC" w:rsidP="001977AC">
            <w:pPr>
              <w:spacing w:line="257" w:lineRule="auto"/>
              <w:rPr>
                <w:rFonts w:ascii="Calibri" w:eastAsia="Calibri" w:hAnsi="Calibri" w:cs="Calibri"/>
                <w:i/>
                <w:iCs/>
                <w:sz w:val="18"/>
                <w:szCs w:val="18"/>
              </w:rPr>
            </w:pPr>
          </w:p>
          <w:p w14:paraId="49941BC5" w14:textId="77777777" w:rsidR="001649EC" w:rsidRDefault="001649EC" w:rsidP="001977AC">
            <w:pPr>
              <w:spacing w:line="257" w:lineRule="auto"/>
              <w:rPr>
                <w:rFonts w:ascii="Calibri" w:eastAsia="Calibri" w:hAnsi="Calibri" w:cs="Calibri"/>
                <w:i/>
                <w:iCs/>
                <w:sz w:val="18"/>
                <w:szCs w:val="18"/>
              </w:rPr>
            </w:pPr>
          </w:p>
          <w:p w14:paraId="3670A90E" w14:textId="77777777" w:rsidR="001649EC" w:rsidRDefault="001649EC" w:rsidP="001977AC">
            <w:pPr>
              <w:spacing w:line="257" w:lineRule="auto"/>
              <w:rPr>
                <w:rFonts w:ascii="Calibri" w:eastAsia="Calibri" w:hAnsi="Calibri" w:cs="Calibri"/>
                <w:i/>
                <w:iCs/>
                <w:sz w:val="18"/>
                <w:szCs w:val="18"/>
              </w:rPr>
            </w:pPr>
          </w:p>
          <w:p w14:paraId="05EB1535" w14:textId="77777777" w:rsidR="001649EC" w:rsidRDefault="001649EC" w:rsidP="001977AC">
            <w:pPr>
              <w:spacing w:line="257" w:lineRule="auto"/>
              <w:rPr>
                <w:rFonts w:ascii="Calibri" w:eastAsia="Calibri" w:hAnsi="Calibri" w:cs="Calibri"/>
                <w:i/>
                <w:iCs/>
                <w:sz w:val="18"/>
                <w:szCs w:val="18"/>
              </w:rPr>
            </w:pPr>
          </w:p>
          <w:p w14:paraId="6B37FD04" w14:textId="77777777" w:rsidR="001649EC" w:rsidRDefault="001649EC" w:rsidP="001977AC">
            <w:pPr>
              <w:spacing w:line="257" w:lineRule="auto"/>
              <w:rPr>
                <w:rFonts w:ascii="Calibri" w:eastAsia="Calibri" w:hAnsi="Calibri" w:cs="Calibri"/>
                <w:i/>
                <w:iCs/>
                <w:sz w:val="18"/>
                <w:szCs w:val="18"/>
              </w:rPr>
            </w:pPr>
          </w:p>
          <w:p w14:paraId="34ABBF82" w14:textId="77777777" w:rsidR="001649EC" w:rsidRDefault="001649EC" w:rsidP="001977AC">
            <w:pPr>
              <w:spacing w:line="257" w:lineRule="auto"/>
              <w:rPr>
                <w:rFonts w:ascii="Calibri" w:eastAsia="Calibri" w:hAnsi="Calibri" w:cs="Calibri"/>
                <w:i/>
                <w:iCs/>
                <w:sz w:val="18"/>
                <w:szCs w:val="18"/>
              </w:rPr>
            </w:pPr>
          </w:p>
          <w:p w14:paraId="762AE7F3" w14:textId="77777777" w:rsidR="001649EC" w:rsidRDefault="001649EC" w:rsidP="001977AC">
            <w:pPr>
              <w:spacing w:line="257" w:lineRule="auto"/>
              <w:rPr>
                <w:rFonts w:ascii="Calibri" w:eastAsia="Calibri" w:hAnsi="Calibri" w:cs="Calibri"/>
                <w:i/>
                <w:iCs/>
                <w:sz w:val="18"/>
                <w:szCs w:val="18"/>
              </w:rPr>
            </w:pPr>
          </w:p>
          <w:p w14:paraId="6126B1C7" w14:textId="77777777" w:rsidR="001649EC" w:rsidRDefault="001649EC" w:rsidP="001977AC">
            <w:pPr>
              <w:spacing w:line="257" w:lineRule="auto"/>
              <w:rPr>
                <w:rFonts w:ascii="Calibri" w:eastAsia="Calibri" w:hAnsi="Calibri" w:cs="Calibri"/>
                <w:i/>
                <w:iCs/>
                <w:sz w:val="18"/>
                <w:szCs w:val="18"/>
              </w:rPr>
            </w:pPr>
          </w:p>
          <w:p w14:paraId="239E5ADC" w14:textId="77777777" w:rsidR="001649EC" w:rsidRDefault="001649EC" w:rsidP="001977AC">
            <w:pPr>
              <w:spacing w:line="257" w:lineRule="auto"/>
              <w:rPr>
                <w:rFonts w:ascii="Calibri" w:eastAsia="Calibri" w:hAnsi="Calibri" w:cs="Calibri"/>
                <w:i/>
                <w:iCs/>
                <w:sz w:val="18"/>
                <w:szCs w:val="18"/>
              </w:rPr>
            </w:pPr>
          </w:p>
          <w:p w14:paraId="306BF891" w14:textId="77777777" w:rsidR="001649EC" w:rsidRDefault="001649EC" w:rsidP="001977AC">
            <w:pPr>
              <w:spacing w:line="257" w:lineRule="auto"/>
              <w:rPr>
                <w:rFonts w:ascii="Calibri" w:eastAsia="Calibri" w:hAnsi="Calibri" w:cs="Calibri"/>
                <w:i/>
                <w:iCs/>
                <w:sz w:val="18"/>
                <w:szCs w:val="18"/>
              </w:rPr>
            </w:pPr>
          </w:p>
          <w:p w14:paraId="01AA9D38" w14:textId="77777777" w:rsidR="001649EC" w:rsidRDefault="001649EC" w:rsidP="001977AC">
            <w:pPr>
              <w:spacing w:line="257" w:lineRule="auto"/>
              <w:rPr>
                <w:rFonts w:ascii="Calibri" w:eastAsia="Calibri" w:hAnsi="Calibri" w:cs="Calibri"/>
                <w:i/>
                <w:iCs/>
                <w:sz w:val="18"/>
                <w:szCs w:val="18"/>
              </w:rPr>
            </w:pPr>
          </w:p>
          <w:p w14:paraId="5FC7875F" w14:textId="77777777" w:rsidR="001649EC" w:rsidRDefault="001649EC" w:rsidP="001977AC">
            <w:pPr>
              <w:spacing w:line="257" w:lineRule="auto"/>
              <w:rPr>
                <w:rFonts w:ascii="Calibri" w:eastAsia="Calibri" w:hAnsi="Calibri" w:cs="Calibri"/>
                <w:i/>
                <w:iCs/>
                <w:sz w:val="18"/>
                <w:szCs w:val="18"/>
              </w:rPr>
            </w:pPr>
          </w:p>
          <w:p w14:paraId="1599242F" w14:textId="77777777" w:rsidR="001649EC" w:rsidRDefault="001649EC" w:rsidP="001977AC">
            <w:pPr>
              <w:spacing w:line="257" w:lineRule="auto"/>
              <w:rPr>
                <w:rFonts w:ascii="Calibri" w:eastAsia="Calibri" w:hAnsi="Calibri" w:cs="Calibri"/>
                <w:i/>
                <w:iCs/>
                <w:sz w:val="18"/>
                <w:szCs w:val="18"/>
              </w:rPr>
            </w:pPr>
          </w:p>
          <w:p w14:paraId="0D703E8F" w14:textId="77777777" w:rsidR="001649EC" w:rsidRDefault="001649EC" w:rsidP="001977AC">
            <w:pPr>
              <w:spacing w:line="257" w:lineRule="auto"/>
              <w:rPr>
                <w:rFonts w:ascii="Calibri" w:eastAsia="Calibri" w:hAnsi="Calibri" w:cs="Calibri"/>
                <w:i/>
                <w:iCs/>
                <w:sz w:val="18"/>
                <w:szCs w:val="18"/>
              </w:rPr>
            </w:pPr>
          </w:p>
          <w:p w14:paraId="65F1AF42" w14:textId="77777777" w:rsidR="001649EC" w:rsidRDefault="001649EC" w:rsidP="001977AC">
            <w:pPr>
              <w:spacing w:line="257" w:lineRule="auto"/>
              <w:rPr>
                <w:rFonts w:ascii="Calibri" w:eastAsia="Calibri" w:hAnsi="Calibri" w:cs="Calibri"/>
                <w:i/>
                <w:iCs/>
                <w:sz w:val="18"/>
                <w:szCs w:val="18"/>
              </w:rPr>
            </w:pPr>
          </w:p>
          <w:p w14:paraId="6CDC5C6B" w14:textId="77777777" w:rsidR="001649EC" w:rsidRDefault="001649EC" w:rsidP="001977AC">
            <w:pPr>
              <w:spacing w:line="257" w:lineRule="auto"/>
              <w:rPr>
                <w:rFonts w:ascii="Calibri" w:eastAsia="Calibri" w:hAnsi="Calibri" w:cs="Calibri"/>
                <w:i/>
                <w:iCs/>
                <w:sz w:val="18"/>
                <w:szCs w:val="18"/>
              </w:rPr>
            </w:pPr>
          </w:p>
          <w:p w14:paraId="21B619F4" w14:textId="7D7E2EF5" w:rsidR="001649EC" w:rsidRPr="00BD2525" w:rsidRDefault="001649EC" w:rsidP="001977AC">
            <w:pPr>
              <w:spacing w:line="257" w:lineRule="auto"/>
            </w:pPr>
          </w:p>
        </w:tc>
      </w:tr>
    </w:tbl>
    <w:p w14:paraId="41E25935" w14:textId="0F67F037" w:rsidR="001977AC" w:rsidRDefault="001977AC" w:rsidP="00612C8D">
      <w:pPr>
        <w:rPr>
          <w:lang w:val="de-DE"/>
        </w:rPr>
      </w:pPr>
    </w:p>
    <w:p w14:paraId="21772FFF" w14:textId="3916B3ED" w:rsidR="001977AC" w:rsidRDefault="001977AC" w:rsidP="00612C8D">
      <w:pPr>
        <w:rPr>
          <w:lang w:val="de-DE"/>
        </w:rPr>
      </w:pPr>
    </w:p>
    <w:p w14:paraId="37014F49" w14:textId="1D5E0703" w:rsidR="001977AC" w:rsidRDefault="001977AC" w:rsidP="00612C8D">
      <w:pPr>
        <w:rPr>
          <w:lang w:val="de-DE"/>
        </w:rPr>
      </w:pPr>
      <w:r>
        <w:rPr>
          <w:lang w:val="de-DE"/>
        </w:rPr>
        <w:br w:type="page"/>
      </w:r>
    </w:p>
    <w:p w14:paraId="2C162C63" w14:textId="77777777" w:rsidR="001977AC" w:rsidRPr="00B067DB" w:rsidRDefault="001977AC" w:rsidP="001977AC">
      <w:pPr>
        <w:pStyle w:val="Header"/>
        <w:ind w:left="-115"/>
        <w:jc w:val="center"/>
        <w:rPr>
          <w:i/>
        </w:rPr>
      </w:pPr>
      <w:r w:rsidRPr="00B067DB">
        <w:rPr>
          <w:i/>
        </w:rPr>
        <w:lastRenderedPageBreak/>
        <w:t>This document is a working document and should not be considered as representative of the European Commission’s official position.</w:t>
      </w:r>
    </w:p>
    <w:p w14:paraId="16A78A54" w14:textId="77777777" w:rsidR="001977AC" w:rsidRPr="001977AC" w:rsidRDefault="001977AC" w:rsidP="001977AC">
      <w:pPr>
        <w:rPr>
          <w:u w:val="single"/>
        </w:rPr>
      </w:pPr>
    </w:p>
    <w:p w14:paraId="5006EEF6" w14:textId="496922F5" w:rsidR="001977AC" w:rsidRDefault="001977AC" w:rsidP="001977AC">
      <w:pPr>
        <w:jc w:val="center"/>
        <w:rPr>
          <w:u w:val="single"/>
          <w:lang w:val="de-DE"/>
        </w:rPr>
      </w:pPr>
      <w:proofErr w:type="spellStart"/>
      <w:r w:rsidRPr="001977AC">
        <w:rPr>
          <w:u w:val="single"/>
          <w:lang w:val="de-DE"/>
        </w:rPr>
        <w:t>EXPLANATORY</w:t>
      </w:r>
      <w:proofErr w:type="spellEnd"/>
      <w:r w:rsidRPr="001977AC">
        <w:rPr>
          <w:u w:val="single"/>
          <w:lang w:val="de-DE"/>
        </w:rPr>
        <w:t xml:space="preserve"> </w:t>
      </w:r>
      <w:proofErr w:type="spellStart"/>
      <w:r w:rsidRPr="001977AC">
        <w:rPr>
          <w:u w:val="single"/>
          <w:lang w:val="de-DE"/>
        </w:rPr>
        <w:t>DOCUMENT</w:t>
      </w:r>
      <w:r>
        <w:rPr>
          <w:u w:val="single"/>
          <w:lang w:val="de-DE"/>
        </w:rPr>
        <w:t>S</w:t>
      </w:r>
      <w:proofErr w:type="spellEnd"/>
    </w:p>
    <w:tbl>
      <w:tblPr>
        <w:tblStyle w:val="TableGrid"/>
        <w:tblW w:w="10632" w:type="dxa"/>
        <w:tblInd w:w="-714" w:type="dxa"/>
        <w:tblLayout w:type="fixed"/>
        <w:tblLook w:val="04A0" w:firstRow="1" w:lastRow="0" w:firstColumn="1" w:lastColumn="0" w:noHBand="0" w:noVBand="1"/>
      </w:tblPr>
      <w:tblGrid>
        <w:gridCol w:w="2410"/>
        <w:gridCol w:w="8222"/>
      </w:tblGrid>
      <w:tr w:rsidR="001977AC" w14:paraId="77A39122" w14:textId="77777777" w:rsidTr="001977AC">
        <w:tc>
          <w:tcPr>
            <w:tcW w:w="10632" w:type="dxa"/>
            <w:gridSpan w:val="2"/>
          </w:tcPr>
          <w:p w14:paraId="63BD7E4F" w14:textId="77777777" w:rsidR="001977AC" w:rsidRPr="00332349" w:rsidRDefault="001977AC" w:rsidP="007037E4">
            <w:pPr>
              <w:spacing w:before="120" w:after="120"/>
              <w:jc w:val="center"/>
              <w:rPr>
                <w:b/>
              </w:rPr>
            </w:pPr>
            <w:r w:rsidRPr="00332349">
              <w:rPr>
                <w:b/>
              </w:rPr>
              <w:t xml:space="preserve">Building an </w:t>
            </w:r>
            <w:proofErr w:type="spellStart"/>
            <w:r w:rsidRPr="00332349">
              <w:rPr>
                <w:b/>
              </w:rPr>
              <w:t>R&amp;I</w:t>
            </w:r>
            <w:proofErr w:type="spellEnd"/>
            <w:r w:rsidRPr="00332349">
              <w:rPr>
                <w:b/>
              </w:rPr>
              <w:t xml:space="preserve"> ERA on Hydrogen (Action 11 – part 1)</w:t>
            </w:r>
          </w:p>
        </w:tc>
      </w:tr>
      <w:tr w:rsidR="001977AC" w:rsidRPr="008134C4" w14:paraId="024B587D" w14:textId="77777777" w:rsidTr="001977AC">
        <w:tc>
          <w:tcPr>
            <w:tcW w:w="10632" w:type="dxa"/>
            <w:gridSpan w:val="2"/>
          </w:tcPr>
          <w:p w14:paraId="5903CFE5" w14:textId="77777777" w:rsidR="001977AC" w:rsidRPr="00542CEF" w:rsidRDefault="001977AC" w:rsidP="007037E4">
            <w:pPr>
              <w:spacing w:before="120" w:after="120"/>
              <w:rPr>
                <w:lang w:val="fr-BE"/>
              </w:rPr>
            </w:pPr>
            <w:r w:rsidRPr="00542CEF">
              <w:rPr>
                <w:i/>
                <w:lang w:val="fr-BE"/>
              </w:rPr>
              <w:t xml:space="preserve">Contact point: </w:t>
            </w:r>
            <w:r>
              <w:rPr>
                <w:b/>
                <w:lang w:val="fr-BE"/>
              </w:rPr>
              <w:t>Martin GIEB (</w:t>
            </w:r>
            <w:proofErr w:type="spellStart"/>
            <w:r>
              <w:rPr>
                <w:b/>
                <w:lang w:val="fr-BE"/>
              </w:rPr>
              <w:t>RTD.C.1</w:t>
            </w:r>
            <w:proofErr w:type="spellEnd"/>
            <w:r>
              <w:rPr>
                <w:b/>
                <w:lang w:val="fr-BE"/>
              </w:rPr>
              <w:t xml:space="preserve">), </w:t>
            </w:r>
            <w:r w:rsidRPr="00403A16">
              <w:rPr>
                <w:b/>
                <w:lang w:val="fr-BE"/>
              </w:rPr>
              <w:t>Luca POLIZZI (</w:t>
            </w:r>
            <w:proofErr w:type="spellStart"/>
            <w:r w:rsidRPr="00403A16">
              <w:rPr>
                <w:b/>
                <w:lang w:val="fr-BE"/>
              </w:rPr>
              <w:t>RTD.C.1</w:t>
            </w:r>
            <w:proofErr w:type="spellEnd"/>
            <w:r w:rsidRPr="00403A16">
              <w:rPr>
                <w:b/>
                <w:lang w:val="fr-BE"/>
              </w:rPr>
              <w:t>)</w:t>
            </w:r>
          </w:p>
        </w:tc>
      </w:tr>
      <w:tr w:rsidR="001977AC" w14:paraId="20DB61F4" w14:textId="77777777" w:rsidTr="001977AC">
        <w:tc>
          <w:tcPr>
            <w:tcW w:w="2410" w:type="dxa"/>
          </w:tcPr>
          <w:p w14:paraId="1F8E7427" w14:textId="77777777" w:rsidR="001977AC" w:rsidRPr="005A2F61" w:rsidRDefault="001977AC" w:rsidP="001977AC">
            <w:pPr>
              <w:pStyle w:val="ListParagraph"/>
              <w:numPr>
                <w:ilvl w:val="0"/>
                <w:numId w:val="10"/>
              </w:numPr>
              <w:spacing w:before="120" w:after="120"/>
              <w:jc w:val="both"/>
              <w:rPr>
                <w:b/>
              </w:rPr>
            </w:pPr>
            <w:r w:rsidRPr="005A2F61">
              <w:rPr>
                <w:b/>
              </w:rPr>
              <w:t>Description</w:t>
            </w:r>
          </w:p>
        </w:tc>
        <w:tc>
          <w:tcPr>
            <w:tcW w:w="8222" w:type="dxa"/>
          </w:tcPr>
          <w:p w14:paraId="370AAD40" w14:textId="77777777" w:rsidR="001977AC" w:rsidRPr="00787B4A" w:rsidRDefault="001977AC" w:rsidP="007037E4">
            <w:pPr>
              <w:jc w:val="both"/>
              <w:rPr>
                <w:sz w:val="24"/>
                <w:szCs w:val="24"/>
              </w:rPr>
            </w:pPr>
            <w:r>
              <w:rPr>
                <w:sz w:val="24"/>
                <w:szCs w:val="24"/>
              </w:rPr>
              <w:t>T</w:t>
            </w:r>
            <w:r w:rsidRPr="585107E0">
              <w:rPr>
                <w:sz w:val="24"/>
                <w:szCs w:val="24"/>
              </w:rPr>
              <w:t>he Council co</w:t>
            </w:r>
            <w:r>
              <w:rPr>
                <w:sz w:val="24"/>
                <w:szCs w:val="24"/>
              </w:rPr>
              <w:t xml:space="preserve">nclusions of 1 December 2020 </w:t>
            </w:r>
            <w:r w:rsidRPr="585107E0">
              <w:rPr>
                <w:sz w:val="24"/>
                <w:szCs w:val="24"/>
              </w:rPr>
              <w:t>invite</w:t>
            </w:r>
            <w:r>
              <w:rPr>
                <w:sz w:val="24"/>
                <w:szCs w:val="24"/>
              </w:rPr>
              <w:t>s</w:t>
            </w:r>
            <w:r w:rsidRPr="585107E0">
              <w:rPr>
                <w:sz w:val="24"/>
                <w:szCs w:val="24"/>
              </w:rPr>
              <w:t xml:space="preserve"> the Commission and interested Member States to carry out an agenda process for a green </w:t>
            </w:r>
            <w:r>
              <w:rPr>
                <w:sz w:val="24"/>
                <w:szCs w:val="24"/>
              </w:rPr>
              <w:t>Hydrogen</w:t>
            </w:r>
            <w:r w:rsidRPr="585107E0">
              <w:rPr>
                <w:sz w:val="24"/>
                <w:szCs w:val="24"/>
              </w:rPr>
              <w:t xml:space="preserve"> </w:t>
            </w:r>
            <w:proofErr w:type="spellStart"/>
            <w:r w:rsidRPr="585107E0">
              <w:rPr>
                <w:sz w:val="24"/>
                <w:szCs w:val="24"/>
              </w:rPr>
              <w:t>R&amp;I</w:t>
            </w:r>
            <w:proofErr w:type="spellEnd"/>
            <w:r w:rsidRPr="585107E0">
              <w:rPr>
                <w:sz w:val="24"/>
                <w:szCs w:val="24"/>
              </w:rPr>
              <w:t xml:space="preserve"> ERA pilot action. </w:t>
            </w:r>
          </w:p>
          <w:p w14:paraId="2FA539C2" w14:textId="77777777" w:rsidR="001977AC" w:rsidRPr="00787B4A" w:rsidRDefault="001977AC" w:rsidP="007037E4">
            <w:pPr>
              <w:jc w:val="both"/>
              <w:rPr>
                <w:sz w:val="24"/>
                <w:szCs w:val="24"/>
              </w:rPr>
            </w:pPr>
            <w:r w:rsidRPr="585107E0">
              <w:rPr>
                <w:sz w:val="24"/>
                <w:szCs w:val="24"/>
              </w:rPr>
              <w:t xml:space="preserve">In this context, Germany </w:t>
            </w:r>
            <w:r>
              <w:rPr>
                <w:sz w:val="24"/>
                <w:szCs w:val="24"/>
              </w:rPr>
              <w:t xml:space="preserve">together with other Member States </w:t>
            </w:r>
            <w:r w:rsidRPr="585107E0">
              <w:rPr>
                <w:sz w:val="24"/>
                <w:szCs w:val="24"/>
              </w:rPr>
              <w:t xml:space="preserve">has </w:t>
            </w:r>
            <w:r>
              <w:rPr>
                <w:sz w:val="24"/>
                <w:szCs w:val="24"/>
              </w:rPr>
              <w:t>initiated</w:t>
            </w:r>
            <w:r w:rsidRPr="585107E0">
              <w:rPr>
                <w:sz w:val="24"/>
                <w:szCs w:val="24"/>
              </w:rPr>
              <w:t xml:space="preserve"> a bottom-up agenda process towards joint </w:t>
            </w:r>
            <w:proofErr w:type="spellStart"/>
            <w:r w:rsidRPr="585107E0">
              <w:rPr>
                <w:sz w:val="24"/>
                <w:szCs w:val="24"/>
              </w:rPr>
              <w:t>R&amp;I</w:t>
            </w:r>
            <w:proofErr w:type="spellEnd"/>
            <w:r w:rsidRPr="585107E0">
              <w:rPr>
                <w:sz w:val="24"/>
                <w:szCs w:val="24"/>
              </w:rPr>
              <w:t xml:space="preserve"> activities</w:t>
            </w:r>
            <w:r>
              <w:rPr>
                <w:sz w:val="24"/>
                <w:szCs w:val="24"/>
              </w:rPr>
              <w:t xml:space="preserve">, to prepare a Strategic Research and Innovation Agenda. The Commission is actively participating in this process, including by providing input to the </w:t>
            </w:r>
            <w:proofErr w:type="spellStart"/>
            <w:r>
              <w:rPr>
                <w:sz w:val="24"/>
                <w:szCs w:val="24"/>
              </w:rPr>
              <w:t>SRIA</w:t>
            </w:r>
            <w:proofErr w:type="spellEnd"/>
            <w:r w:rsidRPr="585107E0">
              <w:rPr>
                <w:sz w:val="24"/>
                <w:szCs w:val="24"/>
              </w:rPr>
              <w:t xml:space="preserve">.  </w:t>
            </w:r>
          </w:p>
          <w:p w14:paraId="70A58238" w14:textId="77777777" w:rsidR="001977AC" w:rsidRDefault="001977AC" w:rsidP="007037E4">
            <w:pPr>
              <w:jc w:val="both"/>
            </w:pPr>
            <w:r>
              <w:t>The</w:t>
            </w:r>
            <w:r w:rsidRPr="00403A16">
              <w:t xml:space="preserve"> ‘Agenda Process on </w:t>
            </w:r>
            <w:r>
              <w:t xml:space="preserve">the ERA pilot on </w:t>
            </w:r>
            <w:r w:rsidRPr="00403A16">
              <w:t xml:space="preserve">Green </w:t>
            </w:r>
            <w:r>
              <w:t>Hydrogen</w:t>
            </w:r>
            <w:r w:rsidRPr="00403A16">
              <w:t xml:space="preserve">’ </w:t>
            </w:r>
            <w:r>
              <w:t>wa</w:t>
            </w:r>
            <w:r w:rsidRPr="00403A16">
              <w:t xml:space="preserve">s built around three thematic workshops throughout 2021 to identify urgent research and innovation questions for Green </w:t>
            </w:r>
            <w:r>
              <w:t>Hydrogen</w:t>
            </w:r>
            <w:r w:rsidRPr="00403A16">
              <w:t xml:space="preserve"> competitiveness</w:t>
            </w:r>
            <w:r>
              <w:t>, and was published on 18 March 2022</w:t>
            </w:r>
            <w:r w:rsidRPr="00403A16">
              <w:t xml:space="preserve">. </w:t>
            </w:r>
            <w:r>
              <w:t xml:space="preserve"> </w:t>
            </w:r>
          </w:p>
          <w:p w14:paraId="188187C5" w14:textId="77777777" w:rsidR="001977AC" w:rsidRDefault="001977AC" w:rsidP="007037E4">
            <w:pPr>
              <w:jc w:val="both"/>
              <w:rPr>
                <w:sz w:val="24"/>
                <w:szCs w:val="24"/>
              </w:rPr>
            </w:pPr>
            <w:r w:rsidRPr="00496001">
              <w:rPr>
                <w:sz w:val="24"/>
                <w:szCs w:val="24"/>
              </w:rPr>
              <w:t xml:space="preserve">DG </w:t>
            </w:r>
            <w:proofErr w:type="spellStart"/>
            <w:r w:rsidRPr="00496001">
              <w:rPr>
                <w:sz w:val="24"/>
                <w:szCs w:val="24"/>
              </w:rPr>
              <w:t>R&amp;I</w:t>
            </w:r>
            <w:proofErr w:type="spellEnd"/>
            <w:r w:rsidRPr="00496001">
              <w:rPr>
                <w:sz w:val="24"/>
                <w:szCs w:val="24"/>
              </w:rPr>
              <w:t xml:space="preserve"> will support this green </w:t>
            </w:r>
            <w:r>
              <w:rPr>
                <w:sz w:val="24"/>
                <w:szCs w:val="24"/>
              </w:rPr>
              <w:t>Hydrogen</w:t>
            </w:r>
            <w:r w:rsidRPr="00496001">
              <w:rPr>
                <w:sz w:val="24"/>
                <w:szCs w:val="24"/>
              </w:rPr>
              <w:t xml:space="preserve"> ERA pilot with a portfolio of actions at EU level, </w:t>
            </w:r>
            <w:r>
              <w:rPr>
                <w:sz w:val="24"/>
                <w:szCs w:val="24"/>
              </w:rPr>
              <w:t xml:space="preserve">in synergy with and complementing MS actions in the </w:t>
            </w:r>
            <w:proofErr w:type="spellStart"/>
            <w:r>
              <w:rPr>
                <w:sz w:val="24"/>
                <w:szCs w:val="24"/>
              </w:rPr>
              <w:t>SRIA</w:t>
            </w:r>
            <w:proofErr w:type="spellEnd"/>
            <w:r>
              <w:rPr>
                <w:sz w:val="24"/>
                <w:szCs w:val="24"/>
              </w:rPr>
              <w:t xml:space="preserve">, as well as in alignment with the Hydrogen strategy for a climate-neutral Europe (COM(2020) 301, Brussels 8,7.2020) and with the Commission staff working document (2022) 15 final on </w:t>
            </w:r>
            <w:proofErr w:type="spellStart"/>
            <w:r>
              <w:rPr>
                <w:sz w:val="24"/>
                <w:szCs w:val="24"/>
              </w:rPr>
              <w:t>R&amp;I</w:t>
            </w:r>
            <w:proofErr w:type="spellEnd"/>
            <w:r>
              <w:rPr>
                <w:sz w:val="24"/>
                <w:szCs w:val="24"/>
              </w:rPr>
              <w:t xml:space="preserve"> to support the implementation of the Hydrogen Strategy.</w:t>
            </w:r>
          </w:p>
          <w:p w14:paraId="3C4259EC" w14:textId="77777777" w:rsidR="001977AC" w:rsidRDefault="001977AC" w:rsidP="007037E4">
            <w:pPr>
              <w:jc w:val="both"/>
            </w:pPr>
          </w:p>
          <w:p w14:paraId="588085E7" w14:textId="77777777" w:rsidR="001977AC" w:rsidRPr="00B05831" w:rsidRDefault="001977AC" w:rsidP="007037E4">
            <w:pPr>
              <w:jc w:val="both"/>
              <w:rPr>
                <w:b/>
              </w:rPr>
            </w:pPr>
            <w:r w:rsidRPr="00B05831">
              <w:rPr>
                <w:b/>
              </w:rPr>
              <w:t>Future actions:</w:t>
            </w:r>
          </w:p>
          <w:p w14:paraId="559DE095" w14:textId="77777777" w:rsidR="001977AC" w:rsidRPr="00B05831" w:rsidRDefault="001977AC" w:rsidP="007037E4">
            <w:pPr>
              <w:jc w:val="both"/>
              <w:rPr>
                <w:b/>
              </w:rPr>
            </w:pPr>
            <w:r w:rsidRPr="00B05831">
              <w:rPr>
                <w:b/>
              </w:rPr>
              <w:t xml:space="preserve">For implementing the </w:t>
            </w:r>
            <w:proofErr w:type="spellStart"/>
            <w:r w:rsidRPr="00B05831">
              <w:rPr>
                <w:b/>
              </w:rPr>
              <w:t>SRIA</w:t>
            </w:r>
            <w:proofErr w:type="spellEnd"/>
            <w:r w:rsidRPr="00B05831">
              <w:rPr>
                <w:b/>
              </w:rPr>
              <w:t>:</w:t>
            </w:r>
          </w:p>
          <w:p w14:paraId="24BDA306" w14:textId="77777777" w:rsidR="001977AC" w:rsidRDefault="001977AC" w:rsidP="007037E4">
            <w:pPr>
              <w:jc w:val="both"/>
            </w:pPr>
            <w:r>
              <w:t xml:space="preserve">A detailed roadmap of actionable activities will follow, based on the outcome of the conference on </w:t>
            </w:r>
            <w:r w:rsidRPr="008B120C">
              <w:t>“Green Hydrogen for a Sustainable European Future”</w:t>
            </w:r>
            <w:r>
              <w:t xml:space="preserve"> organised by Germany with the support of ERA countries participating to this action that will take place on 16 and 17 May in Berlin, to identify a number of concrete actions and activities for 2022-2023-2024, implementing the </w:t>
            </w:r>
            <w:proofErr w:type="spellStart"/>
            <w:r>
              <w:t>SRIA</w:t>
            </w:r>
            <w:proofErr w:type="spellEnd"/>
          </w:p>
          <w:p w14:paraId="1A23F06D" w14:textId="77777777" w:rsidR="001977AC" w:rsidRDefault="001977AC" w:rsidP="007037E4">
            <w:pPr>
              <w:jc w:val="both"/>
            </w:pPr>
          </w:p>
          <w:p w14:paraId="6FCB57DE" w14:textId="77777777" w:rsidR="001977AC" w:rsidRPr="00787B4A" w:rsidRDefault="001977AC" w:rsidP="007037E4">
            <w:pPr>
              <w:jc w:val="both"/>
              <w:rPr>
                <w:b/>
                <w:bCs/>
                <w:sz w:val="24"/>
                <w:szCs w:val="24"/>
              </w:rPr>
            </w:pPr>
            <w:r w:rsidRPr="00B05831">
              <w:rPr>
                <w:b/>
              </w:rPr>
              <w:t>Complemented at the EU level by</w:t>
            </w:r>
            <w:r w:rsidRPr="00496001">
              <w:rPr>
                <w:sz w:val="24"/>
                <w:szCs w:val="24"/>
              </w:rPr>
              <w:t>:</w:t>
            </w:r>
          </w:p>
          <w:p w14:paraId="66F6CA6B" w14:textId="77777777" w:rsidR="001977AC" w:rsidRPr="00787B4A" w:rsidRDefault="001977AC" w:rsidP="001977AC">
            <w:pPr>
              <w:pStyle w:val="ListParagraph"/>
              <w:numPr>
                <w:ilvl w:val="0"/>
                <w:numId w:val="11"/>
              </w:numPr>
              <w:jc w:val="both"/>
              <w:rPr>
                <w:sz w:val="24"/>
                <w:szCs w:val="24"/>
              </w:rPr>
            </w:pPr>
            <w:r>
              <w:rPr>
                <w:sz w:val="24"/>
                <w:szCs w:val="24"/>
              </w:rPr>
              <w:t>Develop</w:t>
            </w:r>
            <w:r w:rsidRPr="00787B4A">
              <w:rPr>
                <w:sz w:val="24"/>
                <w:szCs w:val="24"/>
              </w:rPr>
              <w:t xml:space="preserve"> a common data sharing area for </w:t>
            </w:r>
            <w:r>
              <w:rPr>
                <w:sz w:val="24"/>
                <w:szCs w:val="24"/>
              </w:rPr>
              <w:t>Hydrogen</w:t>
            </w:r>
            <w:r w:rsidRPr="00787B4A">
              <w:rPr>
                <w:sz w:val="24"/>
                <w:szCs w:val="24"/>
              </w:rPr>
              <w:t xml:space="preserve"> technologies, market statistics, socio-economic indicators, policy, regulations and financial support, together with a common knowledge area, built on the existing TRUST database and the </w:t>
            </w:r>
            <w:r>
              <w:rPr>
                <w:sz w:val="24"/>
                <w:szCs w:val="24"/>
              </w:rPr>
              <w:t>Hydrogen</w:t>
            </w:r>
            <w:r w:rsidRPr="00787B4A">
              <w:rPr>
                <w:sz w:val="24"/>
                <w:szCs w:val="24"/>
              </w:rPr>
              <w:t xml:space="preserve"> </w:t>
            </w:r>
            <w:r>
              <w:rPr>
                <w:sz w:val="24"/>
                <w:szCs w:val="24"/>
              </w:rPr>
              <w:t>O</w:t>
            </w:r>
            <w:r w:rsidRPr="00787B4A">
              <w:rPr>
                <w:sz w:val="24"/>
                <w:szCs w:val="24"/>
              </w:rPr>
              <w:t xml:space="preserve">bservatory of the Fuel Cells and </w:t>
            </w:r>
            <w:r>
              <w:rPr>
                <w:sz w:val="24"/>
                <w:szCs w:val="24"/>
              </w:rPr>
              <w:t>Hydrogen</w:t>
            </w:r>
            <w:r w:rsidRPr="00787B4A">
              <w:rPr>
                <w:sz w:val="24"/>
                <w:szCs w:val="24"/>
              </w:rPr>
              <w:t xml:space="preserve"> partnership (</w:t>
            </w:r>
            <w:proofErr w:type="spellStart"/>
            <w:r w:rsidRPr="00787B4A">
              <w:rPr>
                <w:sz w:val="24"/>
                <w:szCs w:val="24"/>
              </w:rPr>
              <w:t>FCH</w:t>
            </w:r>
            <w:proofErr w:type="spellEnd"/>
            <w:r w:rsidRPr="00787B4A">
              <w:rPr>
                <w:sz w:val="24"/>
                <w:szCs w:val="24"/>
              </w:rPr>
              <w:t xml:space="preserve"> 2 </w:t>
            </w:r>
            <w:proofErr w:type="spellStart"/>
            <w:r w:rsidRPr="00787B4A">
              <w:rPr>
                <w:sz w:val="24"/>
                <w:szCs w:val="24"/>
              </w:rPr>
              <w:t>JU</w:t>
            </w:r>
            <w:proofErr w:type="spellEnd"/>
            <w:r w:rsidRPr="00787B4A">
              <w:rPr>
                <w:sz w:val="24"/>
                <w:szCs w:val="24"/>
              </w:rPr>
              <w:t xml:space="preserve">). The </w:t>
            </w:r>
            <w:r>
              <w:rPr>
                <w:sz w:val="24"/>
                <w:szCs w:val="24"/>
              </w:rPr>
              <w:t>O</w:t>
            </w:r>
            <w:r w:rsidRPr="00787B4A">
              <w:rPr>
                <w:sz w:val="24"/>
                <w:szCs w:val="24"/>
              </w:rPr>
              <w:t xml:space="preserve">bservatory </w:t>
            </w:r>
            <w:r>
              <w:rPr>
                <w:sz w:val="24"/>
                <w:szCs w:val="24"/>
              </w:rPr>
              <w:t>will</w:t>
            </w:r>
            <w:r w:rsidRPr="00787B4A">
              <w:rPr>
                <w:sz w:val="24"/>
                <w:szCs w:val="24"/>
              </w:rPr>
              <w:t xml:space="preserve"> be further developed along the model of the </w:t>
            </w:r>
            <w:proofErr w:type="spellStart"/>
            <w:r w:rsidRPr="00787B4A">
              <w:rPr>
                <w:sz w:val="24"/>
                <w:szCs w:val="24"/>
              </w:rPr>
              <w:t>EUON</w:t>
            </w:r>
            <w:proofErr w:type="spellEnd"/>
            <w:r w:rsidRPr="00787B4A">
              <w:rPr>
                <w:sz w:val="24"/>
                <w:szCs w:val="24"/>
              </w:rPr>
              <w:t>, which is progressively serving, in addition to researchers and technicians, media and citizens</w:t>
            </w:r>
            <w:r>
              <w:rPr>
                <w:sz w:val="24"/>
                <w:szCs w:val="24"/>
              </w:rPr>
              <w:t xml:space="preserve"> – this activity will be done in synergy with the Clean Hydrogen Joint Undertaking</w:t>
            </w:r>
            <w:r w:rsidRPr="00787B4A">
              <w:rPr>
                <w:sz w:val="24"/>
                <w:szCs w:val="24"/>
              </w:rPr>
              <w:t>;</w:t>
            </w:r>
          </w:p>
          <w:p w14:paraId="24C064EE" w14:textId="77777777" w:rsidR="001977AC" w:rsidRPr="00787B4A" w:rsidRDefault="001977AC" w:rsidP="001977AC">
            <w:pPr>
              <w:pStyle w:val="ListParagraph"/>
              <w:numPr>
                <w:ilvl w:val="0"/>
                <w:numId w:val="11"/>
              </w:numPr>
              <w:jc w:val="both"/>
              <w:rPr>
                <w:sz w:val="24"/>
                <w:szCs w:val="24"/>
              </w:rPr>
            </w:pPr>
            <w:r>
              <w:rPr>
                <w:sz w:val="24"/>
                <w:szCs w:val="24"/>
              </w:rPr>
              <w:t>Streamline a</w:t>
            </w:r>
            <w:r w:rsidRPr="585107E0">
              <w:rPr>
                <w:sz w:val="24"/>
                <w:szCs w:val="24"/>
              </w:rPr>
              <w:t xml:space="preserve"> mapping of industry’s needs for skills or re-skilling/upskilling linked to new </w:t>
            </w:r>
            <w:r>
              <w:rPr>
                <w:sz w:val="24"/>
                <w:szCs w:val="24"/>
              </w:rPr>
              <w:t>Hydrogen</w:t>
            </w:r>
            <w:r w:rsidRPr="585107E0">
              <w:rPr>
                <w:sz w:val="24"/>
                <w:szCs w:val="24"/>
              </w:rPr>
              <w:t xml:space="preserve"> technologies, with a potential dedicated workshop </w:t>
            </w:r>
            <w:r>
              <w:rPr>
                <w:sz w:val="24"/>
                <w:szCs w:val="24"/>
              </w:rPr>
              <w:t>in 2022</w:t>
            </w:r>
            <w:r w:rsidRPr="585107E0">
              <w:rPr>
                <w:sz w:val="24"/>
                <w:szCs w:val="24"/>
              </w:rPr>
              <w:t xml:space="preserve">, building on </w:t>
            </w:r>
            <w:r>
              <w:rPr>
                <w:sz w:val="24"/>
                <w:szCs w:val="24"/>
              </w:rPr>
              <w:t>the work of the two private stakeholders of the Joint Undertaking (Hydrogen Europe and Hydrogen Europe Research) under the Pact for skills, to be launched before summer 2022.</w:t>
            </w:r>
            <w:r w:rsidRPr="585107E0">
              <w:rPr>
                <w:sz w:val="24"/>
                <w:szCs w:val="24"/>
              </w:rPr>
              <w:t>;</w:t>
            </w:r>
          </w:p>
          <w:p w14:paraId="03ECD42F" w14:textId="77777777" w:rsidR="001977AC" w:rsidRDefault="001977AC" w:rsidP="001977AC">
            <w:pPr>
              <w:pStyle w:val="ListParagraph"/>
              <w:numPr>
                <w:ilvl w:val="0"/>
                <w:numId w:val="11"/>
              </w:numPr>
              <w:jc w:val="both"/>
              <w:rPr>
                <w:sz w:val="24"/>
                <w:szCs w:val="24"/>
              </w:rPr>
            </w:pPr>
            <w:r>
              <w:rPr>
                <w:sz w:val="24"/>
                <w:szCs w:val="24"/>
              </w:rPr>
              <w:t>Design</w:t>
            </w:r>
            <w:r w:rsidRPr="585107E0">
              <w:rPr>
                <w:sz w:val="24"/>
                <w:szCs w:val="24"/>
              </w:rPr>
              <w:t xml:space="preserve"> potential Open Innovation Test Beds, providing services of testing and piloting </w:t>
            </w:r>
            <w:r>
              <w:rPr>
                <w:sz w:val="24"/>
                <w:szCs w:val="24"/>
              </w:rPr>
              <w:t xml:space="preserve">within industrial environment including assessment of </w:t>
            </w:r>
            <w:r>
              <w:rPr>
                <w:sz w:val="24"/>
                <w:szCs w:val="24"/>
              </w:rPr>
              <w:lastRenderedPageBreak/>
              <w:t>sustainability and regulatory</w:t>
            </w:r>
            <w:r w:rsidRPr="585107E0">
              <w:rPr>
                <w:sz w:val="24"/>
                <w:szCs w:val="24"/>
              </w:rPr>
              <w:t xml:space="preserve"> compliance</w:t>
            </w:r>
            <w:r>
              <w:rPr>
                <w:sz w:val="24"/>
                <w:szCs w:val="24"/>
              </w:rPr>
              <w:t xml:space="preserve">. It aims at filling the gaps for offering a European common area for testing and piloting towards market especially targeting services for SMEs, which cannot offer investing in such infrastructures. </w:t>
            </w:r>
          </w:p>
          <w:p w14:paraId="2F94BAC2" w14:textId="77777777" w:rsidR="001977AC" w:rsidRPr="00787B4A" w:rsidRDefault="001977AC" w:rsidP="001977AC">
            <w:pPr>
              <w:pStyle w:val="ListParagraph"/>
              <w:numPr>
                <w:ilvl w:val="0"/>
                <w:numId w:val="11"/>
              </w:numPr>
              <w:jc w:val="both"/>
              <w:rPr>
                <w:sz w:val="24"/>
                <w:szCs w:val="24"/>
              </w:rPr>
            </w:pPr>
            <w:r>
              <w:rPr>
                <w:sz w:val="24"/>
                <w:szCs w:val="24"/>
              </w:rPr>
              <w:t xml:space="preserve">Develop further the concept of hydrogen valleys across of the EU and link with the same approach on hydrogen Valleys within Mission Innovation 2 – mission on clean hydrogen, aiming at setting up 100 Hydrogen Valleys worldwide. </w:t>
            </w:r>
          </w:p>
          <w:p w14:paraId="77CD7A57" w14:textId="77777777" w:rsidR="001977AC" w:rsidRPr="009915C8" w:rsidRDefault="001977AC" w:rsidP="007037E4">
            <w:pPr>
              <w:jc w:val="both"/>
            </w:pPr>
          </w:p>
        </w:tc>
      </w:tr>
      <w:tr w:rsidR="001977AC" w14:paraId="552A0A70" w14:textId="77777777" w:rsidTr="001977AC">
        <w:tc>
          <w:tcPr>
            <w:tcW w:w="2410" w:type="dxa"/>
          </w:tcPr>
          <w:p w14:paraId="1B499B58" w14:textId="77777777" w:rsidR="001977AC" w:rsidRPr="005A2F61" w:rsidRDefault="001977AC" w:rsidP="001977AC">
            <w:pPr>
              <w:pStyle w:val="ListParagraph"/>
              <w:numPr>
                <w:ilvl w:val="0"/>
                <w:numId w:val="10"/>
              </w:numPr>
              <w:spacing w:before="120" w:after="120"/>
              <w:jc w:val="both"/>
              <w:rPr>
                <w:b/>
              </w:rPr>
            </w:pPr>
            <w:r w:rsidRPr="005A2F61">
              <w:rPr>
                <w:b/>
              </w:rPr>
              <w:lastRenderedPageBreak/>
              <w:t>Actors</w:t>
            </w:r>
          </w:p>
        </w:tc>
        <w:tc>
          <w:tcPr>
            <w:tcW w:w="8222" w:type="dxa"/>
          </w:tcPr>
          <w:p w14:paraId="71D9404E" w14:textId="77777777" w:rsidR="001977AC" w:rsidRDefault="001977AC" w:rsidP="007037E4">
            <w:pPr>
              <w:spacing w:before="120" w:after="120"/>
              <w:jc w:val="both"/>
            </w:pPr>
            <w:r w:rsidRPr="00550176">
              <w:t>Member</w:t>
            </w:r>
            <w:r>
              <w:t>s of the ERA Forum</w:t>
            </w:r>
            <w:r w:rsidRPr="00550176">
              <w:t xml:space="preserve"> and the European Commission</w:t>
            </w:r>
          </w:p>
          <w:p w14:paraId="3684D929" w14:textId="77777777" w:rsidR="001977AC" w:rsidRDefault="001977AC" w:rsidP="007037E4">
            <w:pPr>
              <w:spacing w:before="120" w:after="120"/>
              <w:jc w:val="both"/>
            </w:pPr>
            <w:r w:rsidRPr="00403A16">
              <w:t xml:space="preserve">There is a well-coordinated collaboration with a consortium of member states (see below). </w:t>
            </w:r>
            <w:r>
              <w:t xml:space="preserve">Hydrogen </w:t>
            </w:r>
            <w:r w:rsidRPr="00403A16">
              <w:t>stakeho</w:t>
            </w:r>
            <w:r>
              <w:t xml:space="preserve">lders (both on industry and on </w:t>
            </w:r>
            <w:proofErr w:type="spellStart"/>
            <w:r>
              <w:t>R&amp;I</w:t>
            </w:r>
            <w:proofErr w:type="spellEnd"/>
            <w:r>
              <w:t xml:space="preserve">) and </w:t>
            </w:r>
            <w:proofErr w:type="spellStart"/>
            <w:r>
              <w:t>RTOs</w:t>
            </w:r>
            <w:proofErr w:type="spellEnd"/>
            <w:r w:rsidRPr="00403A16">
              <w:t xml:space="preserve"> are involved.</w:t>
            </w:r>
          </w:p>
          <w:p w14:paraId="218BD83B" w14:textId="77777777" w:rsidR="001977AC" w:rsidRDefault="001977AC" w:rsidP="007037E4">
            <w:pPr>
              <w:jc w:val="both"/>
            </w:pPr>
            <w:r w:rsidRPr="00403A16">
              <w:t xml:space="preserve">Member States that are currently involved in this Agenda Process are AT, BG, CH, CZ, DE, EE, EL, </w:t>
            </w:r>
            <w:proofErr w:type="spellStart"/>
            <w:r w:rsidRPr="00403A16">
              <w:t>ES</w:t>
            </w:r>
            <w:proofErr w:type="spellEnd"/>
            <w:r w:rsidRPr="00403A16">
              <w:t xml:space="preserve">, FIN, </w:t>
            </w:r>
            <w:proofErr w:type="spellStart"/>
            <w:r w:rsidRPr="00403A16">
              <w:t>ISL</w:t>
            </w:r>
            <w:proofErr w:type="spellEnd"/>
            <w:r w:rsidRPr="00403A16">
              <w:t xml:space="preserve">, </w:t>
            </w:r>
            <w:proofErr w:type="spellStart"/>
            <w:r w:rsidRPr="00403A16">
              <w:t>ISR</w:t>
            </w:r>
            <w:proofErr w:type="spellEnd"/>
            <w:r w:rsidRPr="00403A16">
              <w:t xml:space="preserve">, IT, LV, PT, RO, SI and SK. </w:t>
            </w:r>
          </w:p>
          <w:p w14:paraId="0CF31D36" w14:textId="77777777" w:rsidR="001977AC" w:rsidRDefault="001977AC" w:rsidP="007037E4">
            <w:pPr>
              <w:jc w:val="both"/>
            </w:pPr>
          </w:p>
          <w:p w14:paraId="65B468EC" w14:textId="77777777" w:rsidR="001977AC" w:rsidRPr="008A37D5" w:rsidRDefault="001977AC" w:rsidP="007037E4">
            <w:pPr>
              <w:jc w:val="both"/>
            </w:pPr>
            <w:r>
              <w:t>Actions will be designed and implemented by ERA participants and the Commission.</w:t>
            </w:r>
          </w:p>
        </w:tc>
      </w:tr>
      <w:tr w:rsidR="001977AC" w14:paraId="703078D8" w14:textId="77777777" w:rsidTr="001977AC">
        <w:tc>
          <w:tcPr>
            <w:tcW w:w="2410" w:type="dxa"/>
          </w:tcPr>
          <w:p w14:paraId="48DF4952" w14:textId="77777777" w:rsidR="001977AC" w:rsidRPr="005A2F61" w:rsidRDefault="001977AC" w:rsidP="001977AC">
            <w:pPr>
              <w:pStyle w:val="ListParagraph"/>
              <w:numPr>
                <w:ilvl w:val="0"/>
                <w:numId w:val="10"/>
              </w:numPr>
              <w:spacing w:before="120" w:after="120"/>
              <w:jc w:val="both"/>
              <w:rPr>
                <w:b/>
              </w:rPr>
            </w:pPr>
            <w:r w:rsidRPr="005A2F61">
              <w:rPr>
                <w:b/>
              </w:rPr>
              <w:t>Timing</w:t>
            </w:r>
            <w:r>
              <w:rPr>
                <w:b/>
              </w:rPr>
              <w:t xml:space="preserve"> and milestones</w:t>
            </w:r>
          </w:p>
        </w:tc>
        <w:tc>
          <w:tcPr>
            <w:tcW w:w="8222" w:type="dxa"/>
          </w:tcPr>
          <w:p w14:paraId="390CB870" w14:textId="77777777" w:rsidR="001977AC" w:rsidRDefault="001977AC" w:rsidP="007037E4">
            <w:pPr>
              <w:spacing w:before="120" w:after="120"/>
              <w:jc w:val="both"/>
              <w:rPr>
                <w:i/>
              </w:rPr>
            </w:pPr>
            <w:r w:rsidRPr="009915C8">
              <w:rPr>
                <w:i/>
                <w:color w:val="808080" w:themeColor="background1" w:themeShade="80"/>
                <w:sz w:val="20"/>
              </w:rPr>
              <w:t>As far as a calendar can be established already at this stage</w:t>
            </w:r>
            <w:r>
              <w:rPr>
                <w:i/>
              </w:rPr>
              <w:t xml:space="preserve">. </w:t>
            </w:r>
          </w:p>
          <w:p w14:paraId="380C7EE0" w14:textId="77777777" w:rsidR="001977AC" w:rsidRDefault="001977AC" w:rsidP="007037E4">
            <w:pPr>
              <w:jc w:val="both"/>
              <w:rPr>
                <w:sz w:val="24"/>
                <w:szCs w:val="24"/>
              </w:rPr>
            </w:pPr>
          </w:p>
          <w:p w14:paraId="526C1737" w14:textId="77777777" w:rsidR="001977AC" w:rsidRDefault="001977AC" w:rsidP="007037E4">
            <w:pPr>
              <w:jc w:val="both"/>
              <w:rPr>
                <w:sz w:val="24"/>
                <w:szCs w:val="24"/>
              </w:rPr>
            </w:pPr>
            <w:r>
              <w:rPr>
                <w:sz w:val="24"/>
                <w:szCs w:val="24"/>
              </w:rPr>
              <w:t xml:space="preserve">The following deliverables have been identified </w:t>
            </w:r>
          </w:p>
          <w:p w14:paraId="17C36988" w14:textId="77777777" w:rsidR="001977AC" w:rsidRDefault="001977AC" w:rsidP="007037E4">
            <w:pPr>
              <w:jc w:val="both"/>
              <w:rPr>
                <w:sz w:val="24"/>
                <w:szCs w:val="24"/>
              </w:rPr>
            </w:pPr>
            <w:r>
              <w:rPr>
                <w:sz w:val="24"/>
                <w:szCs w:val="24"/>
              </w:rPr>
              <w:t>Already issued:</w:t>
            </w:r>
          </w:p>
          <w:p w14:paraId="3EB443FF" w14:textId="77777777" w:rsidR="001977AC" w:rsidRPr="00C23602" w:rsidRDefault="001977AC" w:rsidP="001977AC">
            <w:pPr>
              <w:pStyle w:val="ListParagraph"/>
              <w:numPr>
                <w:ilvl w:val="0"/>
                <w:numId w:val="12"/>
              </w:numPr>
              <w:jc w:val="both"/>
              <w:rPr>
                <w:rFonts w:ascii="Calibri" w:eastAsia="Calibri" w:hAnsi="Calibri" w:cs="Calibri"/>
                <w:sz w:val="24"/>
                <w:szCs w:val="24"/>
              </w:rPr>
            </w:pPr>
            <w:r>
              <w:rPr>
                <w:rFonts w:ascii="Calibri" w:eastAsia="Calibri" w:hAnsi="Calibri" w:cs="Calibri"/>
                <w:sz w:val="24"/>
                <w:szCs w:val="24"/>
              </w:rPr>
              <w:t>Commission Staff Working Document (</w:t>
            </w:r>
            <w:proofErr w:type="spellStart"/>
            <w:r>
              <w:rPr>
                <w:rFonts w:ascii="Calibri" w:eastAsia="Calibri" w:hAnsi="Calibri" w:cs="Calibri"/>
                <w:sz w:val="24"/>
                <w:szCs w:val="24"/>
              </w:rPr>
              <w:t>Q1</w:t>
            </w:r>
            <w:proofErr w:type="spellEnd"/>
            <w:r>
              <w:rPr>
                <w:rFonts w:ascii="Calibri" w:eastAsia="Calibri" w:hAnsi="Calibri" w:cs="Calibri"/>
                <w:sz w:val="24"/>
                <w:szCs w:val="24"/>
              </w:rPr>
              <w:t xml:space="preserve"> 2022   and a related factsheet on support of </w:t>
            </w:r>
            <w:proofErr w:type="spellStart"/>
            <w:r>
              <w:rPr>
                <w:rFonts w:ascii="Calibri" w:eastAsia="Calibri" w:hAnsi="Calibri" w:cs="Calibri"/>
                <w:sz w:val="24"/>
                <w:szCs w:val="24"/>
              </w:rPr>
              <w:t>R&amp;I</w:t>
            </w:r>
            <w:proofErr w:type="spellEnd"/>
            <w:r>
              <w:rPr>
                <w:rFonts w:ascii="Calibri" w:eastAsia="Calibri" w:hAnsi="Calibri" w:cs="Calibri"/>
                <w:sz w:val="24"/>
                <w:szCs w:val="24"/>
              </w:rPr>
              <w:t xml:space="preserve"> to implement the Hydrogen Strategy </w:t>
            </w:r>
          </w:p>
          <w:p w14:paraId="24A17351" w14:textId="77777777" w:rsidR="001977AC" w:rsidRDefault="001977AC" w:rsidP="001977AC">
            <w:pPr>
              <w:pStyle w:val="ListParagraph"/>
              <w:numPr>
                <w:ilvl w:val="0"/>
                <w:numId w:val="12"/>
              </w:numPr>
              <w:jc w:val="both"/>
              <w:rPr>
                <w:rFonts w:ascii="Calibri" w:eastAsia="Calibri" w:hAnsi="Calibri" w:cs="Calibri"/>
                <w:sz w:val="24"/>
                <w:szCs w:val="24"/>
              </w:rPr>
            </w:pPr>
            <w:r>
              <w:rPr>
                <w:rFonts w:ascii="Calibri" w:eastAsia="Calibri" w:hAnsi="Calibri" w:cs="Calibri"/>
                <w:sz w:val="24"/>
                <w:szCs w:val="24"/>
              </w:rPr>
              <w:t xml:space="preserve">Publication of the </w:t>
            </w:r>
            <w:proofErr w:type="spellStart"/>
            <w:r>
              <w:rPr>
                <w:rFonts w:ascii="Calibri" w:eastAsia="Calibri" w:hAnsi="Calibri" w:cs="Calibri"/>
                <w:sz w:val="24"/>
                <w:szCs w:val="24"/>
              </w:rPr>
              <w:t>SRIA</w:t>
            </w:r>
            <w:proofErr w:type="spellEnd"/>
            <w:r>
              <w:rPr>
                <w:rFonts w:ascii="Calibri" w:eastAsia="Calibri" w:hAnsi="Calibri" w:cs="Calibri"/>
                <w:sz w:val="24"/>
                <w:szCs w:val="24"/>
              </w:rPr>
              <w:t xml:space="preserve"> of the ERA Pilot  (March 2022)</w:t>
            </w:r>
          </w:p>
          <w:p w14:paraId="60D1B08F" w14:textId="77777777" w:rsidR="001977AC" w:rsidRPr="00B05831" w:rsidRDefault="001977AC" w:rsidP="007037E4">
            <w:pPr>
              <w:jc w:val="both"/>
              <w:rPr>
                <w:rFonts w:ascii="Calibri" w:eastAsia="Calibri" w:hAnsi="Calibri" w:cs="Calibri"/>
                <w:sz w:val="24"/>
                <w:szCs w:val="24"/>
              </w:rPr>
            </w:pPr>
            <w:r>
              <w:rPr>
                <w:rFonts w:ascii="Calibri" w:eastAsia="Calibri" w:hAnsi="Calibri" w:cs="Calibri"/>
                <w:sz w:val="24"/>
                <w:szCs w:val="24"/>
              </w:rPr>
              <w:t>Next steps:</w:t>
            </w:r>
            <w:r w:rsidRPr="00B05831">
              <w:rPr>
                <w:rFonts w:ascii="Calibri" w:eastAsia="Calibri" w:hAnsi="Calibri" w:cs="Calibri"/>
                <w:sz w:val="24"/>
                <w:szCs w:val="24"/>
              </w:rPr>
              <w:t xml:space="preserve"> </w:t>
            </w:r>
          </w:p>
          <w:p w14:paraId="676F3863" w14:textId="77777777" w:rsidR="001977AC" w:rsidRDefault="001977AC" w:rsidP="001977AC">
            <w:pPr>
              <w:pStyle w:val="ListParagraph"/>
              <w:numPr>
                <w:ilvl w:val="0"/>
                <w:numId w:val="12"/>
              </w:numPr>
              <w:jc w:val="both"/>
              <w:rPr>
                <w:rFonts w:ascii="Calibri" w:eastAsia="Calibri" w:hAnsi="Calibri" w:cs="Calibri"/>
                <w:sz w:val="24"/>
                <w:szCs w:val="24"/>
              </w:rPr>
            </w:pPr>
            <w:r>
              <w:rPr>
                <w:rFonts w:ascii="Calibri" w:eastAsia="Calibri" w:hAnsi="Calibri" w:cs="Calibri"/>
                <w:sz w:val="24"/>
                <w:szCs w:val="24"/>
              </w:rPr>
              <w:t>Hydrogen</w:t>
            </w:r>
            <w:r w:rsidRPr="00C23602">
              <w:rPr>
                <w:rFonts w:ascii="Calibri" w:eastAsia="Calibri" w:hAnsi="Calibri" w:cs="Calibri"/>
                <w:sz w:val="24"/>
                <w:szCs w:val="24"/>
              </w:rPr>
              <w:t xml:space="preserve"> </w:t>
            </w:r>
            <w:proofErr w:type="spellStart"/>
            <w:r w:rsidRPr="00C23602">
              <w:rPr>
                <w:rFonts w:ascii="Calibri" w:eastAsia="Calibri" w:hAnsi="Calibri" w:cs="Calibri"/>
                <w:sz w:val="24"/>
                <w:szCs w:val="24"/>
              </w:rPr>
              <w:t>SRIA</w:t>
            </w:r>
            <w:proofErr w:type="spellEnd"/>
            <w:r w:rsidRPr="00C23602">
              <w:rPr>
                <w:rFonts w:ascii="Calibri" w:eastAsia="Calibri" w:hAnsi="Calibri" w:cs="Calibri"/>
                <w:sz w:val="24"/>
                <w:szCs w:val="24"/>
              </w:rPr>
              <w:t xml:space="preserve"> Conference </w:t>
            </w:r>
            <w:r>
              <w:rPr>
                <w:rFonts w:ascii="Calibri" w:eastAsia="Calibri" w:hAnsi="Calibri" w:cs="Calibri"/>
                <w:sz w:val="24"/>
                <w:szCs w:val="24"/>
              </w:rPr>
              <w:t xml:space="preserve">in May </w:t>
            </w:r>
            <w:r w:rsidRPr="00C23602">
              <w:rPr>
                <w:rFonts w:ascii="Calibri" w:eastAsia="Calibri" w:hAnsi="Calibri" w:cs="Calibri"/>
                <w:sz w:val="24"/>
                <w:szCs w:val="24"/>
              </w:rPr>
              <w:t xml:space="preserve">2022 in Germany </w:t>
            </w:r>
            <w:r>
              <w:rPr>
                <w:rFonts w:ascii="Calibri" w:eastAsia="Calibri" w:hAnsi="Calibri" w:cs="Calibri"/>
                <w:sz w:val="24"/>
                <w:szCs w:val="24"/>
              </w:rPr>
              <w:t>(</w:t>
            </w:r>
            <w:r w:rsidRPr="00C23602">
              <w:rPr>
                <w:rFonts w:ascii="Calibri" w:eastAsia="Calibri" w:hAnsi="Calibri" w:cs="Calibri"/>
                <w:sz w:val="24"/>
                <w:szCs w:val="24"/>
              </w:rPr>
              <w:t xml:space="preserve">and liaison with French Presidency and presentation of the </w:t>
            </w:r>
            <w:proofErr w:type="spellStart"/>
            <w:r w:rsidRPr="00C23602">
              <w:rPr>
                <w:rFonts w:ascii="Calibri" w:eastAsia="Calibri" w:hAnsi="Calibri" w:cs="Calibri"/>
                <w:sz w:val="24"/>
                <w:szCs w:val="24"/>
              </w:rPr>
              <w:t>SWD</w:t>
            </w:r>
            <w:proofErr w:type="spellEnd"/>
            <w:r>
              <w:rPr>
                <w:rFonts w:ascii="Calibri" w:eastAsia="Calibri" w:hAnsi="Calibri" w:cs="Calibri"/>
                <w:sz w:val="24"/>
                <w:szCs w:val="24"/>
              </w:rPr>
              <w:t>)</w:t>
            </w:r>
          </w:p>
          <w:p w14:paraId="30D31105" w14:textId="77777777" w:rsidR="001977AC" w:rsidRDefault="001977AC" w:rsidP="001977AC">
            <w:pPr>
              <w:pStyle w:val="ListParagraph"/>
              <w:numPr>
                <w:ilvl w:val="0"/>
                <w:numId w:val="12"/>
              </w:numPr>
              <w:jc w:val="both"/>
              <w:rPr>
                <w:rFonts w:ascii="Calibri" w:eastAsia="Calibri" w:hAnsi="Calibri" w:cs="Calibri"/>
                <w:sz w:val="24"/>
                <w:szCs w:val="24"/>
              </w:rPr>
            </w:pPr>
            <w:r>
              <w:rPr>
                <w:rFonts w:ascii="Calibri" w:eastAsia="Calibri" w:hAnsi="Calibri" w:cs="Calibri"/>
                <w:sz w:val="24"/>
                <w:szCs w:val="24"/>
              </w:rPr>
              <w:t>Hydrogen</w:t>
            </w:r>
            <w:r w:rsidRPr="00C23602">
              <w:rPr>
                <w:rFonts w:ascii="Calibri" w:eastAsia="Calibri" w:hAnsi="Calibri" w:cs="Calibri"/>
                <w:sz w:val="24"/>
                <w:szCs w:val="24"/>
              </w:rPr>
              <w:t xml:space="preserve"> thematic updates at the </w:t>
            </w:r>
            <w:proofErr w:type="spellStart"/>
            <w:r w:rsidRPr="00C23602">
              <w:rPr>
                <w:rFonts w:ascii="Calibri" w:eastAsia="Calibri" w:hAnsi="Calibri" w:cs="Calibri"/>
                <w:sz w:val="24"/>
                <w:szCs w:val="24"/>
              </w:rPr>
              <w:t>R&amp;I</w:t>
            </w:r>
            <w:proofErr w:type="spellEnd"/>
            <w:r w:rsidRPr="00C23602">
              <w:rPr>
                <w:rFonts w:ascii="Calibri" w:eastAsia="Calibri" w:hAnsi="Calibri" w:cs="Calibri"/>
                <w:sz w:val="24"/>
                <w:szCs w:val="24"/>
              </w:rPr>
              <w:t xml:space="preserve"> days </w:t>
            </w:r>
            <w:r>
              <w:rPr>
                <w:rFonts w:ascii="Calibri" w:eastAsia="Calibri" w:hAnsi="Calibri" w:cs="Calibri"/>
                <w:sz w:val="24"/>
                <w:szCs w:val="24"/>
              </w:rPr>
              <w:t xml:space="preserve">in </w:t>
            </w:r>
            <w:r w:rsidRPr="00C23602">
              <w:rPr>
                <w:rFonts w:ascii="Calibri" w:eastAsia="Calibri" w:hAnsi="Calibri" w:cs="Calibri"/>
                <w:sz w:val="24"/>
                <w:szCs w:val="24"/>
              </w:rPr>
              <w:t>2022</w:t>
            </w:r>
            <w:r>
              <w:rPr>
                <w:rFonts w:ascii="Calibri" w:eastAsia="Calibri" w:hAnsi="Calibri" w:cs="Calibri"/>
                <w:sz w:val="24"/>
                <w:szCs w:val="24"/>
              </w:rPr>
              <w:t xml:space="preserve">, 2023 and 2024 including specific EU and EU-MS workshops, to be commonly worked out between task force, MS and EC; this may include contributions to the work of the Clean Hydrogen </w:t>
            </w:r>
            <w:proofErr w:type="spellStart"/>
            <w:r>
              <w:rPr>
                <w:rFonts w:ascii="Calibri" w:eastAsia="Calibri" w:hAnsi="Calibri" w:cs="Calibri"/>
                <w:sz w:val="24"/>
                <w:szCs w:val="24"/>
              </w:rPr>
              <w:t>JU</w:t>
            </w:r>
            <w:proofErr w:type="spellEnd"/>
            <w:r>
              <w:rPr>
                <w:rFonts w:ascii="Calibri" w:eastAsia="Calibri" w:hAnsi="Calibri" w:cs="Calibri"/>
                <w:sz w:val="24"/>
                <w:szCs w:val="24"/>
              </w:rPr>
              <w:t xml:space="preserve"> State Representatives Groups</w:t>
            </w:r>
          </w:p>
          <w:p w14:paraId="2C40CB9A" w14:textId="77777777" w:rsidR="001977AC" w:rsidRDefault="001977AC" w:rsidP="001977AC">
            <w:pPr>
              <w:pStyle w:val="ListParagraph"/>
              <w:numPr>
                <w:ilvl w:val="0"/>
                <w:numId w:val="12"/>
              </w:numPr>
              <w:jc w:val="both"/>
              <w:rPr>
                <w:rFonts w:ascii="Calibri" w:eastAsia="Calibri" w:hAnsi="Calibri" w:cs="Calibri"/>
                <w:sz w:val="24"/>
                <w:szCs w:val="24"/>
              </w:rPr>
            </w:pPr>
            <w:r>
              <w:rPr>
                <w:rFonts w:ascii="Calibri" w:eastAsia="Calibri" w:hAnsi="Calibri" w:cs="Calibri"/>
                <w:sz w:val="24"/>
                <w:szCs w:val="24"/>
              </w:rPr>
              <w:t xml:space="preserve">Integration of testbeds into the Horizon Europe work programme 2023/2024 </w:t>
            </w:r>
          </w:p>
          <w:p w14:paraId="4CCFA42B" w14:textId="77777777" w:rsidR="001977AC" w:rsidRDefault="001977AC" w:rsidP="001977AC">
            <w:pPr>
              <w:pStyle w:val="ListParagraph"/>
              <w:numPr>
                <w:ilvl w:val="0"/>
                <w:numId w:val="12"/>
              </w:numPr>
              <w:jc w:val="both"/>
              <w:rPr>
                <w:rFonts w:ascii="Calibri" w:eastAsia="Calibri" w:hAnsi="Calibri" w:cs="Calibri"/>
                <w:sz w:val="24"/>
                <w:szCs w:val="24"/>
              </w:rPr>
            </w:pPr>
            <w:r>
              <w:rPr>
                <w:rFonts w:ascii="Calibri" w:eastAsia="Calibri" w:hAnsi="Calibri" w:cs="Calibri"/>
                <w:sz w:val="24"/>
                <w:szCs w:val="24"/>
              </w:rPr>
              <w:t>First deliverables (curricula, training materials) of the Pact for Skills part on hydrogen (2024)</w:t>
            </w:r>
          </w:p>
          <w:p w14:paraId="54D9DB90" w14:textId="77777777" w:rsidR="001977AC" w:rsidRDefault="001977AC" w:rsidP="001977AC">
            <w:pPr>
              <w:pStyle w:val="ListParagraph"/>
              <w:numPr>
                <w:ilvl w:val="0"/>
                <w:numId w:val="12"/>
              </w:numPr>
              <w:jc w:val="both"/>
              <w:rPr>
                <w:rFonts w:ascii="Calibri" w:eastAsia="Calibri" w:hAnsi="Calibri" w:cs="Calibri"/>
                <w:sz w:val="24"/>
                <w:szCs w:val="24"/>
              </w:rPr>
            </w:pPr>
            <w:r>
              <w:rPr>
                <w:rFonts w:ascii="Calibri" w:eastAsia="Calibri" w:hAnsi="Calibri" w:cs="Calibri"/>
                <w:sz w:val="24"/>
                <w:szCs w:val="24"/>
              </w:rPr>
              <w:t>Development of hydrogen valleys into the Work Programme of the Clean Hydrogen Joint undertaking (2021/2022 – done, 2023 to be finalised end of 2022);</w:t>
            </w:r>
          </w:p>
          <w:p w14:paraId="44C90A44" w14:textId="77777777" w:rsidR="001977AC" w:rsidRPr="00B05831" w:rsidRDefault="001977AC" w:rsidP="001977AC">
            <w:pPr>
              <w:pStyle w:val="ListParagraph"/>
              <w:numPr>
                <w:ilvl w:val="0"/>
                <w:numId w:val="12"/>
              </w:numPr>
              <w:jc w:val="both"/>
              <w:rPr>
                <w:rFonts w:ascii="Calibri" w:eastAsia="Calibri" w:hAnsi="Calibri" w:cs="Calibri"/>
                <w:sz w:val="24"/>
                <w:szCs w:val="24"/>
              </w:rPr>
            </w:pPr>
            <w:r>
              <w:rPr>
                <w:rFonts w:ascii="Calibri" w:eastAsia="Calibri" w:hAnsi="Calibri" w:cs="Calibri"/>
                <w:sz w:val="24"/>
                <w:szCs w:val="24"/>
              </w:rPr>
              <w:t xml:space="preserve">Development of the next steps of the EU Clean Hydrogen Observatory (EU CHO) – successive WP of the CH </w:t>
            </w:r>
            <w:proofErr w:type="spellStart"/>
            <w:r>
              <w:rPr>
                <w:rFonts w:ascii="Calibri" w:eastAsia="Calibri" w:hAnsi="Calibri" w:cs="Calibri"/>
                <w:sz w:val="24"/>
                <w:szCs w:val="24"/>
              </w:rPr>
              <w:t>JU</w:t>
            </w:r>
            <w:proofErr w:type="spellEnd"/>
          </w:p>
          <w:p w14:paraId="6F9B9C35" w14:textId="77777777" w:rsidR="001977AC" w:rsidRPr="00C23602" w:rsidRDefault="001977AC" w:rsidP="001977AC">
            <w:pPr>
              <w:pStyle w:val="ListParagraph"/>
              <w:numPr>
                <w:ilvl w:val="0"/>
                <w:numId w:val="12"/>
              </w:numPr>
              <w:jc w:val="both"/>
              <w:rPr>
                <w:rFonts w:ascii="Calibri" w:eastAsia="Calibri" w:hAnsi="Calibri" w:cs="Calibri"/>
                <w:sz w:val="24"/>
                <w:szCs w:val="24"/>
              </w:rPr>
            </w:pPr>
            <w:r>
              <w:rPr>
                <w:rFonts w:ascii="Calibri" w:eastAsia="Calibri" w:hAnsi="Calibri" w:cs="Calibri"/>
                <w:sz w:val="24"/>
                <w:szCs w:val="24"/>
              </w:rPr>
              <w:t>Contribution to the Hydrogen Research and Innovation Day, during Hydrogen Week in 2022 (October)-2023-2024</w:t>
            </w:r>
          </w:p>
          <w:p w14:paraId="3FC47E5C" w14:textId="77777777" w:rsidR="001977AC" w:rsidRPr="00C23602" w:rsidRDefault="001977AC" w:rsidP="001977AC">
            <w:pPr>
              <w:pStyle w:val="ListParagraph"/>
              <w:numPr>
                <w:ilvl w:val="0"/>
                <w:numId w:val="12"/>
              </w:numPr>
              <w:jc w:val="both"/>
              <w:rPr>
                <w:rFonts w:ascii="Calibri" w:eastAsia="Calibri" w:hAnsi="Calibri" w:cs="Calibri"/>
                <w:sz w:val="24"/>
                <w:szCs w:val="24"/>
              </w:rPr>
            </w:pPr>
            <w:r>
              <w:rPr>
                <w:rFonts w:ascii="Calibri" w:eastAsia="Calibri" w:hAnsi="Calibri" w:cs="Calibri"/>
                <w:sz w:val="24"/>
                <w:szCs w:val="24"/>
              </w:rPr>
              <w:t xml:space="preserve">Work towards </w:t>
            </w:r>
            <w:r w:rsidRPr="00C23602">
              <w:rPr>
                <w:rFonts w:ascii="Calibri" w:eastAsia="Calibri" w:hAnsi="Calibri" w:cs="Calibri"/>
                <w:sz w:val="24"/>
                <w:szCs w:val="24"/>
              </w:rPr>
              <w:t xml:space="preserve">EU MS </w:t>
            </w:r>
            <w:r>
              <w:rPr>
                <w:rFonts w:ascii="Calibri" w:eastAsia="Calibri" w:hAnsi="Calibri" w:cs="Calibri"/>
                <w:sz w:val="24"/>
                <w:szCs w:val="24"/>
              </w:rPr>
              <w:t>Hydrogen</w:t>
            </w:r>
            <w:r w:rsidRPr="00C23602">
              <w:rPr>
                <w:rFonts w:ascii="Calibri" w:eastAsia="Calibri" w:hAnsi="Calibri" w:cs="Calibri"/>
                <w:sz w:val="24"/>
                <w:szCs w:val="24"/>
              </w:rPr>
              <w:t xml:space="preserve"> national strategies updates and feeding into the EU </w:t>
            </w:r>
            <w:r>
              <w:rPr>
                <w:rFonts w:ascii="Calibri" w:eastAsia="Calibri" w:hAnsi="Calibri" w:cs="Calibri"/>
                <w:sz w:val="24"/>
                <w:szCs w:val="24"/>
              </w:rPr>
              <w:t>Hydrogen</w:t>
            </w:r>
            <w:r w:rsidRPr="00C23602">
              <w:rPr>
                <w:rFonts w:ascii="Calibri" w:eastAsia="Calibri" w:hAnsi="Calibri" w:cs="Calibri"/>
                <w:sz w:val="24"/>
                <w:szCs w:val="24"/>
              </w:rPr>
              <w:t xml:space="preserve"> strategy – </w:t>
            </w:r>
            <w:proofErr w:type="spellStart"/>
            <w:r w:rsidRPr="00C23602">
              <w:rPr>
                <w:rFonts w:ascii="Calibri" w:eastAsia="Calibri" w:hAnsi="Calibri" w:cs="Calibri"/>
                <w:sz w:val="24"/>
                <w:szCs w:val="24"/>
              </w:rPr>
              <w:t>KPIs</w:t>
            </w:r>
            <w:proofErr w:type="spellEnd"/>
          </w:p>
        </w:tc>
      </w:tr>
      <w:tr w:rsidR="001977AC" w14:paraId="18036E88" w14:textId="77777777" w:rsidTr="001977AC">
        <w:tc>
          <w:tcPr>
            <w:tcW w:w="2410" w:type="dxa"/>
          </w:tcPr>
          <w:p w14:paraId="0E98E61E" w14:textId="77777777" w:rsidR="001977AC" w:rsidRPr="005A2F61" w:rsidRDefault="001977AC" w:rsidP="001977AC">
            <w:pPr>
              <w:pStyle w:val="ListParagraph"/>
              <w:numPr>
                <w:ilvl w:val="0"/>
                <w:numId w:val="10"/>
              </w:numPr>
              <w:spacing w:before="120" w:after="120"/>
              <w:jc w:val="both"/>
              <w:rPr>
                <w:b/>
              </w:rPr>
            </w:pPr>
            <w:r w:rsidRPr="005A2F61">
              <w:rPr>
                <w:b/>
              </w:rPr>
              <w:t>Funding</w:t>
            </w:r>
          </w:p>
        </w:tc>
        <w:tc>
          <w:tcPr>
            <w:tcW w:w="8222" w:type="dxa"/>
          </w:tcPr>
          <w:p w14:paraId="1AC0B2E4" w14:textId="77777777" w:rsidR="001977AC" w:rsidRDefault="001977AC" w:rsidP="007037E4">
            <w:pPr>
              <w:spacing w:before="120" w:after="120"/>
              <w:jc w:val="both"/>
            </w:pPr>
            <w:r>
              <w:t xml:space="preserve">Horizon Europe (cluster 4, 5, </w:t>
            </w:r>
            <w:proofErr w:type="spellStart"/>
            <w:r>
              <w:t>EIC</w:t>
            </w:r>
            <w:proofErr w:type="spellEnd"/>
            <w:r>
              <w:t xml:space="preserve">, </w:t>
            </w:r>
            <w:proofErr w:type="spellStart"/>
            <w:r>
              <w:t>EIT</w:t>
            </w:r>
            <w:proofErr w:type="spellEnd"/>
            <w:r>
              <w:t xml:space="preserve"> </w:t>
            </w:r>
            <w:proofErr w:type="spellStart"/>
            <w:r>
              <w:t>KIC</w:t>
            </w:r>
            <w:proofErr w:type="spellEnd"/>
            <w:r>
              <w:t xml:space="preserve">) </w:t>
            </w:r>
          </w:p>
          <w:p w14:paraId="6D9B8BD3" w14:textId="77777777" w:rsidR="001977AC" w:rsidRDefault="001977AC" w:rsidP="007037E4">
            <w:pPr>
              <w:spacing w:before="120" w:after="120"/>
              <w:jc w:val="both"/>
            </w:pPr>
            <w:r>
              <w:t>Private funding through the Clean Hydrogen Partnerships,,</w:t>
            </w:r>
          </w:p>
          <w:p w14:paraId="035003EF" w14:textId="77777777" w:rsidR="001977AC" w:rsidRDefault="001977AC" w:rsidP="007037E4">
            <w:pPr>
              <w:spacing w:before="120" w:after="120"/>
              <w:jc w:val="both"/>
            </w:pPr>
            <w:r>
              <w:lastRenderedPageBreak/>
              <w:t>Possible regional funding (including using the facility of transfer to HE),</w:t>
            </w:r>
          </w:p>
          <w:p w14:paraId="2FB3990E" w14:textId="77777777" w:rsidR="001977AC" w:rsidRPr="009B3045" w:rsidRDefault="001977AC" w:rsidP="007037E4">
            <w:pPr>
              <w:spacing w:before="120" w:after="120"/>
              <w:jc w:val="both"/>
            </w:pPr>
            <w:r>
              <w:t xml:space="preserve">Possible national funding thought EU MS hydrogen national strategies and </w:t>
            </w:r>
            <w:proofErr w:type="spellStart"/>
            <w:r>
              <w:t>R&amp;I</w:t>
            </w:r>
            <w:proofErr w:type="spellEnd"/>
            <w:r>
              <w:t xml:space="preserve"> funding programmes</w:t>
            </w:r>
          </w:p>
        </w:tc>
      </w:tr>
      <w:tr w:rsidR="001977AC" w14:paraId="39D8169E" w14:textId="77777777" w:rsidTr="001977AC">
        <w:tc>
          <w:tcPr>
            <w:tcW w:w="2410" w:type="dxa"/>
          </w:tcPr>
          <w:p w14:paraId="56B4039D" w14:textId="77777777" w:rsidR="001977AC" w:rsidRPr="005A2F61" w:rsidRDefault="001977AC" w:rsidP="001977AC">
            <w:pPr>
              <w:pStyle w:val="ListParagraph"/>
              <w:numPr>
                <w:ilvl w:val="0"/>
                <w:numId w:val="10"/>
              </w:numPr>
              <w:spacing w:before="120" w:after="120"/>
              <w:jc w:val="both"/>
              <w:rPr>
                <w:b/>
              </w:rPr>
            </w:pPr>
            <w:r w:rsidRPr="005A2F61">
              <w:rPr>
                <w:b/>
              </w:rPr>
              <w:lastRenderedPageBreak/>
              <w:t>Expected impact</w:t>
            </w:r>
          </w:p>
        </w:tc>
        <w:tc>
          <w:tcPr>
            <w:tcW w:w="8222" w:type="dxa"/>
          </w:tcPr>
          <w:p w14:paraId="52FB7E51" w14:textId="77777777" w:rsidR="001977AC" w:rsidRDefault="001977AC" w:rsidP="001977AC">
            <w:pPr>
              <w:pStyle w:val="ListParagraph"/>
              <w:numPr>
                <w:ilvl w:val="0"/>
                <w:numId w:val="13"/>
              </w:numPr>
              <w:spacing w:before="120" w:after="120"/>
              <w:jc w:val="both"/>
            </w:pPr>
            <w:r>
              <w:t>Accelerating the development of the hydrogen economy in the EU</w:t>
            </w:r>
          </w:p>
          <w:p w14:paraId="1529D2EE" w14:textId="77777777" w:rsidR="001977AC" w:rsidRDefault="001977AC" w:rsidP="001977AC">
            <w:pPr>
              <w:pStyle w:val="ListParagraph"/>
              <w:numPr>
                <w:ilvl w:val="0"/>
                <w:numId w:val="13"/>
              </w:numPr>
              <w:spacing w:before="120" w:after="120"/>
              <w:jc w:val="both"/>
            </w:pPr>
            <w:r>
              <w:t>Reinforcing cooperation between MS especially for mobilising regions and MS which have a lowly developed hydrogen economy</w:t>
            </w:r>
          </w:p>
          <w:p w14:paraId="008D9E5A" w14:textId="77777777" w:rsidR="001977AC" w:rsidRDefault="001977AC" w:rsidP="001977AC">
            <w:pPr>
              <w:pStyle w:val="ListParagraph"/>
              <w:numPr>
                <w:ilvl w:val="0"/>
                <w:numId w:val="13"/>
              </w:numPr>
              <w:spacing w:before="120" w:after="120"/>
              <w:jc w:val="both"/>
            </w:pPr>
            <w:r>
              <w:t>Increasing the EU capacity for storing and distributing the renewable energy necessary for reaching 2030 and 2050 objectives of the Green Deal</w:t>
            </w:r>
          </w:p>
          <w:p w14:paraId="5400846A" w14:textId="77777777" w:rsidR="001977AC" w:rsidRDefault="001977AC" w:rsidP="001977AC">
            <w:pPr>
              <w:pStyle w:val="ListParagraph"/>
              <w:numPr>
                <w:ilvl w:val="0"/>
                <w:numId w:val="13"/>
              </w:numPr>
              <w:spacing w:before="120" w:after="120"/>
              <w:jc w:val="both"/>
            </w:pPr>
            <w:r>
              <w:t>Developing EU and MS knowledge (</w:t>
            </w:r>
            <w:proofErr w:type="spellStart"/>
            <w:r>
              <w:t>R&amp;I</w:t>
            </w:r>
            <w:proofErr w:type="spellEnd"/>
            <w:r>
              <w:t>) and skills on hydrogen and accelerating availability of skilled work force on all hydrogen jobs</w:t>
            </w:r>
          </w:p>
          <w:p w14:paraId="32E4A64F" w14:textId="77777777" w:rsidR="001977AC" w:rsidRDefault="001977AC" w:rsidP="001977AC">
            <w:pPr>
              <w:pStyle w:val="ListParagraph"/>
              <w:numPr>
                <w:ilvl w:val="0"/>
                <w:numId w:val="13"/>
              </w:numPr>
              <w:spacing w:before="120" w:after="120"/>
              <w:jc w:val="both"/>
            </w:pPr>
            <w:r>
              <w:t>Supporting maintaining and further developing the EU industry leadership on hydrogen</w:t>
            </w:r>
          </w:p>
          <w:p w14:paraId="08CCF4CD" w14:textId="77777777" w:rsidR="001977AC" w:rsidRPr="009B3045" w:rsidRDefault="001977AC" w:rsidP="001977AC">
            <w:pPr>
              <w:pStyle w:val="ListParagraph"/>
              <w:numPr>
                <w:ilvl w:val="0"/>
                <w:numId w:val="13"/>
              </w:numPr>
              <w:spacing w:before="120" w:after="120"/>
              <w:jc w:val="both"/>
            </w:pPr>
            <w:r>
              <w:t>Increasing connections with the developing world hydrogen economy, e.g. by the creation of hydrogen valleys</w:t>
            </w:r>
          </w:p>
        </w:tc>
      </w:tr>
      <w:tr w:rsidR="001977AC" w14:paraId="55EEF8ED" w14:textId="77777777" w:rsidTr="001977AC">
        <w:tc>
          <w:tcPr>
            <w:tcW w:w="2410" w:type="dxa"/>
          </w:tcPr>
          <w:p w14:paraId="31E88371" w14:textId="77777777" w:rsidR="001977AC" w:rsidRPr="005A2F61" w:rsidRDefault="001977AC" w:rsidP="001977AC">
            <w:pPr>
              <w:pStyle w:val="ListParagraph"/>
              <w:numPr>
                <w:ilvl w:val="0"/>
                <w:numId w:val="10"/>
              </w:numPr>
              <w:spacing w:before="120" w:after="120"/>
              <w:jc w:val="both"/>
              <w:rPr>
                <w:b/>
              </w:rPr>
            </w:pPr>
            <w:r w:rsidRPr="005A2F61">
              <w:rPr>
                <w:b/>
              </w:rPr>
              <w:t xml:space="preserve">Monitoring </w:t>
            </w:r>
          </w:p>
        </w:tc>
        <w:tc>
          <w:tcPr>
            <w:tcW w:w="8222" w:type="dxa"/>
          </w:tcPr>
          <w:p w14:paraId="400749F0" w14:textId="77777777" w:rsidR="001977AC" w:rsidRDefault="001977AC" w:rsidP="007037E4">
            <w:pPr>
              <w:spacing w:before="120" w:after="120"/>
              <w:jc w:val="both"/>
            </w:pPr>
            <w:r>
              <w:t xml:space="preserve">The draft </w:t>
            </w:r>
            <w:proofErr w:type="spellStart"/>
            <w:r>
              <w:t>SRIA</w:t>
            </w:r>
            <w:proofErr w:type="spellEnd"/>
            <w:r>
              <w:t xml:space="preserve"> proposes that MS holding the Presidency should take responsibility for the implementation of the </w:t>
            </w:r>
            <w:proofErr w:type="spellStart"/>
            <w:r>
              <w:t>SRIA</w:t>
            </w:r>
            <w:proofErr w:type="spellEnd"/>
            <w:r>
              <w:t xml:space="preserve"> and organise at least one high-level meeting.</w:t>
            </w:r>
          </w:p>
          <w:p w14:paraId="72AC4564" w14:textId="77777777" w:rsidR="001977AC" w:rsidRPr="009D268E" w:rsidRDefault="001977AC" w:rsidP="007037E4">
            <w:pPr>
              <w:spacing w:before="120" w:after="120"/>
              <w:jc w:val="both"/>
            </w:pPr>
            <w:r>
              <w:t xml:space="preserve">For the Commission, the draft </w:t>
            </w:r>
            <w:proofErr w:type="spellStart"/>
            <w:r>
              <w:t>SRIA</w:t>
            </w:r>
            <w:proofErr w:type="spellEnd"/>
            <w:r>
              <w:t xml:space="preserve"> should include </w:t>
            </w:r>
            <w:proofErr w:type="spellStart"/>
            <w:r>
              <w:t>KPI</w:t>
            </w:r>
            <w:proofErr w:type="spellEnd"/>
            <w:r>
              <w:t xml:space="preserve"> and monitoring tools, under the condition that these should be consistent and even harmonised with the existing reporting on hydrogen under the Energy Union and could feed the proposed Clean Hydrogen Observatory proposed in the </w:t>
            </w:r>
            <w:proofErr w:type="spellStart"/>
            <w:r>
              <w:t>SWD</w:t>
            </w:r>
            <w:proofErr w:type="spellEnd"/>
            <w:r>
              <w:t>. Consistency with the SET Plan reporting (</w:t>
            </w:r>
            <w:proofErr w:type="spellStart"/>
            <w:r>
              <w:t>SETIS</w:t>
            </w:r>
            <w:proofErr w:type="spellEnd"/>
            <w:r>
              <w:t xml:space="preserve">) and with the MI monitoring should also be looked at and ensured. </w:t>
            </w:r>
          </w:p>
        </w:tc>
      </w:tr>
      <w:tr w:rsidR="001977AC" w14:paraId="15E27FDD" w14:textId="77777777" w:rsidTr="001977AC">
        <w:tc>
          <w:tcPr>
            <w:tcW w:w="2410" w:type="dxa"/>
          </w:tcPr>
          <w:p w14:paraId="4BD06FA4" w14:textId="77777777" w:rsidR="001977AC" w:rsidRPr="005A2F61" w:rsidRDefault="001977AC" w:rsidP="001977AC">
            <w:pPr>
              <w:pStyle w:val="ListParagraph"/>
              <w:numPr>
                <w:ilvl w:val="0"/>
                <w:numId w:val="10"/>
              </w:numPr>
              <w:spacing w:before="120" w:after="120"/>
              <w:jc w:val="both"/>
              <w:rPr>
                <w:b/>
              </w:rPr>
            </w:pPr>
            <w:r w:rsidRPr="005A2F61">
              <w:rPr>
                <w:b/>
              </w:rPr>
              <w:t>Communication</w:t>
            </w:r>
          </w:p>
        </w:tc>
        <w:tc>
          <w:tcPr>
            <w:tcW w:w="8222" w:type="dxa"/>
          </w:tcPr>
          <w:p w14:paraId="1657D4BA" w14:textId="77777777" w:rsidR="001977AC" w:rsidRPr="005F7A34" w:rsidRDefault="001977AC" w:rsidP="001977AC">
            <w:pPr>
              <w:pStyle w:val="ListParagraph"/>
              <w:numPr>
                <w:ilvl w:val="0"/>
                <w:numId w:val="12"/>
              </w:numPr>
              <w:spacing w:before="120" w:after="120"/>
              <w:jc w:val="both"/>
              <w:rPr>
                <w:rFonts w:ascii="Calibri" w:eastAsia="Calibri" w:hAnsi="Calibri" w:cs="Calibri"/>
                <w:sz w:val="24"/>
                <w:szCs w:val="24"/>
              </w:rPr>
            </w:pPr>
            <w:r w:rsidRPr="005F7A34">
              <w:rPr>
                <w:rFonts w:ascii="Calibri" w:eastAsia="Calibri" w:hAnsi="Calibri" w:cs="Calibri"/>
                <w:sz w:val="24"/>
                <w:szCs w:val="24"/>
              </w:rPr>
              <w:t xml:space="preserve">Publication of </w:t>
            </w:r>
            <w:proofErr w:type="spellStart"/>
            <w:r w:rsidRPr="005F7A34">
              <w:rPr>
                <w:rFonts w:ascii="Calibri" w:eastAsia="Calibri" w:hAnsi="Calibri" w:cs="Calibri"/>
                <w:sz w:val="24"/>
                <w:szCs w:val="24"/>
              </w:rPr>
              <w:t>SWD</w:t>
            </w:r>
            <w:proofErr w:type="spellEnd"/>
            <w:r w:rsidRPr="005F7A34">
              <w:rPr>
                <w:rFonts w:ascii="Calibri" w:eastAsia="Calibri" w:hAnsi="Calibri" w:cs="Calibri"/>
                <w:sz w:val="24"/>
                <w:szCs w:val="24"/>
              </w:rPr>
              <w:t xml:space="preserve"> and related fact </w:t>
            </w:r>
            <w:proofErr w:type="spellStart"/>
            <w:r w:rsidRPr="005F7A34">
              <w:rPr>
                <w:rFonts w:ascii="Calibri" w:eastAsia="Calibri" w:hAnsi="Calibri" w:cs="Calibri"/>
                <w:sz w:val="24"/>
                <w:szCs w:val="24"/>
              </w:rPr>
              <w:t>sheetSocial</w:t>
            </w:r>
            <w:proofErr w:type="spellEnd"/>
            <w:r w:rsidRPr="005F7A34">
              <w:rPr>
                <w:rFonts w:ascii="Calibri" w:eastAsia="Calibri" w:hAnsi="Calibri" w:cs="Calibri"/>
                <w:sz w:val="24"/>
                <w:szCs w:val="24"/>
              </w:rPr>
              <w:t xml:space="preserve"> Media and Video communication at central and decentralised level EU DG RTD and EU Representations at MS level (</w:t>
            </w:r>
            <w:r>
              <w:rPr>
                <w:rFonts w:ascii="Calibri" w:eastAsia="Calibri" w:hAnsi="Calibri" w:cs="Calibri"/>
                <w:sz w:val="24"/>
                <w:szCs w:val="24"/>
              </w:rPr>
              <w:t>Done</w:t>
            </w:r>
            <w:r w:rsidRPr="005F7A34">
              <w:rPr>
                <w:rFonts w:ascii="Calibri" w:eastAsia="Calibri" w:hAnsi="Calibri" w:cs="Calibri"/>
                <w:sz w:val="24"/>
                <w:szCs w:val="24"/>
              </w:rPr>
              <w:t>)</w:t>
            </w:r>
          </w:p>
          <w:p w14:paraId="4288977F" w14:textId="77777777" w:rsidR="001977AC" w:rsidRPr="005F7A34" w:rsidRDefault="001977AC" w:rsidP="001977AC">
            <w:pPr>
              <w:pStyle w:val="ListParagraph"/>
              <w:numPr>
                <w:ilvl w:val="0"/>
                <w:numId w:val="12"/>
              </w:numPr>
              <w:spacing w:before="120" w:after="120"/>
              <w:jc w:val="both"/>
              <w:rPr>
                <w:rFonts w:ascii="Calibri" w:eastAsia="Calibri" w:hAnsi="Calibri" w:cs="Calibri"/>
                <w:sz w:val="24"/>
                <w:szCs w:val="24"/>
              </w:rPr>
            </w:pPr>
            <w:r w:rsidRPr="005F7A34">
              <w:rPr>
                <w:rFonts w:ascii="Calibri" w:eastAsia="Calibri" w:hAnsi="Calibri" w:cs="Calibri"/>
                <w:sz w:val="24"/>
                <w:szCs w:val="24"/>
              </w:rPr>
              <w:t>Agenda process conference in Germany (</w:t>
            </w:r>
            <w:proofErr w:type="spellStart"/>
            <w:r w:rsidRPr="005F7A34">
              <w:rPr>
                <w:rFonts w:ascii="Calibri" w:eastAsia="Calibri" w:hAnsi="Calibri" w:cs="Calibri"/>
                <w:sz w:val="24"/>
                <w:szCs w:val="24"/>
              </w:rPr>
              <w:t>Q2</w:t>
            </w:r>
            <w:proofErr w:type="spellEnd"/>
            <w:r w:rsidRPr="005F7A34">
              <w:rPr>
                <w:rFonts w:ascii="Calibri" w:eastAsia="Calibri" w:hAnsi="Calibri" w:cs="Calibri"/>
                <w:sz w:val="24"/>
                <w:szCs w:val="24"/>
              </w:rPr>
              <w:t xml:space="preserve"> 2022)</w:t>
            </w:r>
          </w:p>
          <w:p w14:paraId="0D28B842" w14:textId="77777777" w:rsidR="001977AC" w:rsidRPr="005F7A34" w:rsidRDefault="001977AC" w:rsidP="001977AC">
            <w:pPr>
              <w:pStyle w:val="ListParagraph"/>
              <w:numPr>
                <w:ilvl w:val="0"/>
                <w:numId w:val="12"/>
              </w:numPr>
              <w:spacing w:before="120" w:after="120"/>
              <w:jc w:val="both"/>
              <w:rPr>
                <w:rFonts w:ascii="Calibri" w:eastAsia="Calibri" w:hAnsi="Calibri" w:cs="Calibri"/>
                <w:sz w:val="24"/>
                <w:szCs w:val="24"/>
              </w:rPr>
            </w:pPr>
            <w:r w:rsidRPr="005F7A34">
              <w:rPr>
                <w:rFonts w:ascii="Calibri" w:eastAsia="Calibri" w:hAnsi="Calibri" w:cs="Calibri"/>
                <w:sz w:val="24"/>
                <w:szCs w:val="24"/>
              </w:rPr>
              <w:t xml:space="preserve">Hydrogen week – </w:t>
            </w:r>
            <w:proofErr w:type="spellStart"/>
            <w:r w:rsidRPr="005F7A34">
              <w:rPr>
                <w:rFonts w:ascii="Calibri" w:eastAsia="Calibri" w:hAnsi="Calibri" w:cs="Calibri"/>
                <w:sz w:val="24"/>
                <w:szCs w:val="24"/>
              </w:rPr>
              <w:t>Q3</w:t>
            </w:r>
            <w:proofErr w:type="spellEnd"/>
            <w:r w:rsidRPr="005F7A34">
              <w:rPr>
                <w:rFonts w:ascii="Calibri" w:eastAsia="Calibri" w:hAnsi="Calibri" w:cs="Calibri"/>
                <w:sz w:val="24"/>
                <w:szCs w:val="24"/>
              </w:rPr>
              <w:t xml:space="preserve"> 2022 </w:t>
            </w:r>
          </w:p>
          <w:p w14:paraId="6E317CA3" w14:textId="77777777" w:rsidR="001977AC" w:rsidRPr="005F7A34" w:rsidRDefault="001977AC" w:rsidP="001977AC">
            <w:pPr>
              <w:pStyle w:val="ListParagraph"/>
              <w:numPr>
                <w:ilvl w:val="0"/>
                <w:numId w:val="12"/>
              </w:numPr>
              <w:spacing w:before="120" w:after="120"/>
              <w:jc w:val="both"/>
              <w:rPr>
                <w:rFonts w:ascii="Calibri" w:eastAsia="Calibri" w:hAnsi="Calibri" w:cs="Calibri"/>
                <w:sz w:val="24"/>
                <w:szCs w:val="24"/>
              </w:rPr>
            </w:pPr>
            <w:r w:rsidRPr="005F7A34">
              <w:rPr>
                <w:rFonts w:ascii="Calibri" w:eastAsia="Calibri" w:hAnsi="Calibri" w:cs="Calibri"/>
                <w:sz w:val="24"/>
                <w:szCs w:val="24"/>
              </w:rPr>
              <w:t>Social Media and video communication at EU MS level ….</w:t>
            </w:r>
          </w:p>
          <w:p w14:paraId="7B87700C" w14:textId="77777777" w:rsidR="001977AC" w:rsidRPr="009B3045" w:rsidRDefault="001977AC" w:rsidP="007037E4">
            <w:pPr>
              <w:spacing w:before="120" w:after="120"/>
              <w:jc w:val="both"/>
            </w:pPr>
          </w:p>
        </w:tc>
      </w:tr>
      <w:tr w:rsidR="001977AC" w14:paraId="1EFE5D3A" w14:textId="77777777" w:rsidTr="001977AC">
        <w:tc>
          <w:tcPr>
            <w:tcW w:w="2410" w:type="dxa"/>
          </w:tcPr>
          <w:p w14:paraId="2D4FEC5F" w14:textId="77777777" w:rsidR="001977AC" w:rsidRPr="005A2F61" w:rsidRDefault="001977AC" w:rsidP="001977AC">
            <w:pPr>
              <w:pStyle w:val="ListParagraph"/>
              <w:numPr>
                <w:ilvl w:val="0"/>
                <w:numId w:val="10"/>
              </w:numPr>
              <w:spacing w:before="120" w:after="120"/>
              <w:jc w:val="both"/>
              <w:rPr>
                <w:b/>
              </w:rPr>
            </w:pPr>
            <w:r w:rsidRPr="005A2F61">
              <w:rPr>
                <w:b/>
              </w:rPr>
              <w:t>Additional information</w:t>
            </w:r>
          </w:p>
        </w:tc>
        <w:tc>
          <w:tcPr>
            <w:tcW w:w="8222" w:type="dxa"/>
          </w:tcPr>
          <w:p w14:paraId="6E2BBCFE" w14:textId="4EA6EB6C" w:rsidR="001977AC" w:rsidRDefault="001977AC" w:rsidP="007037E4">
            <w:pPr>
              <w:spacing w:before="120" w:after="120"/>
              <w:jc w:val="both"/>
            </w:pPr>
            <w:r>
              <w:t>---</w:t>
            </w:r>
          </w:p>
        </w:tc>
      </w:tr>
    </w:tbl>
    <w:p w14:paraId="0F501909" w14:textId="2733C370" w:rsidR="001977AC" w:rsidRDefault="001977AC" w:rsidP="001977AC">
      <w:pPr>
        <w:jc w:val="center"/>
        <w:rPr>
          <w:u w:val="single"/>
          <w:lang w:val="de-DE"/>
        </w:rPr>
      </w:pPr>
    </w:p>
    <w:p w14:paraId="07DD5F4E" w14:textId="07F3380C" w:rsidR="001977AC" w:rsidRDefault="001977AC" w:rsidP="001977AC">
      <w:pPr>
        <w:jc w:val="center"/>
        <w:rPr>
          <w:u w:val="single"/>
          <w:lang w:val="de-DE"/>
        </w:rPr>
      </w:pPr>
    </w:p>
    <w:tbl>
      <w:tblPr>
        <w:tblStyle w:val="TableGrid"/>
        <w:tblW w:w="10789" w:type="dxa"/>
        <w:tblInd w:w="-743" w:type="dxa"/>
        <w:tblLayout w:type="fixed"/>
        <w:tblLook w:val="04A0" w:firstRow="1" w:lastRow="0" w:firstColumn="1" w:lastColumn="0" w:noHBand="0" w:noVBand="1"/>
      </w:tblPr>
      <w:tblGrid>
        <w:gridCol w:w="2411"/>
        <w:gridCol w:w="8363"/>
        <w:gridCol w:w="15"/>
      </w:tblGrid>
      <w:tr w:rsidR="001977AC" w:rsidRPr="00511657" w14:paraId="17155224" w14:textId="77777777" w:rsidTr="007037E4">
        <w:tc>
          <w:tcPr>
            <w:tcW w:w="10789" w:type="dxa"/>
            <w:gridSpan w:val="3"/>
          </w:tcPr>
          <w:p w14:paraId="1DB07F6E" w14:textId="77777777" w:rsidR="001977AC" w:rsidRPr="002F7031" w:rsidRDefault="001977AC" w:rsidP="007037E4">
            <w:pPr>
              <w:spacing w:before="120" w:after="120"/>
              <w:jc w:val="center"/>
              <w:rPr>
                <w:rFonts w:cstheme="minorHAnsi"/>
                <w:b/>
              </w:rPr>
            </w:pPr>
            <w:r w:rsidRPr="002F7031">
              <w:rPr>
                <w:rFonts w:cstheme="minorHAnsi"/>
                <w:b/>
              </w:rPr>
              <w:t>Revamping the SET plan (Action 11- part 2)</w:t>
            </w:r>
          </w:p>
        </w:tc>
      </w:tr>
      <w:tr w:rsidR="001977AC" w:rsidRPr="00511657" w14:paraId="2BE54F40" w14:textId="77777777" w:rsidTr="007037E4">
        <w:tc>
          <w:tcPr>
            <w:tcW w:w="10789" w:type="dxa"/>
            <w:gridSpan w:val="3"/>
          </w:tcPr>
          <w:p w14:paraId="27FCE4E1" w14:textId="77777777" w:rsidR="001977AC" w:rsidRPr="00511657" w:rsidRDefault="001977AC" w:rsidP="007037E4">
            <w:pPr>
              <w:spacing w:before="120" w:after="120"/>
              <w:rPr>
                <w:rFonts w:cstheme="minorHAnsi"/>
                <w:b/>
              </w:rPr>
            </w:pPr>
            <w:r w:rsidRPr="00511657">
              <w:rPr>
                <w:rFonts w:cstheme="minorHAnsi"/>
                <w:i/>
              </w:rPr>
              <w:t xml:space="preserve">Contact point: </w:t>
            </w:r>
            <w:r w:rsidRPr="00511657">
              <w:rPr>
                <w:rFonts w:cstheme="minorHAnsi"/>
                <w:b/>
              </w:rPr>
              <w:t>Eirik LONNING (RTD C1)/Stela BALEVA (RTD C1)</w:t>
            </w:r>
            <w:r w:rsidRPr="00511657">
              <w:rPr>
                <w:rStyle w:val="FootnoteReference"/>
                <w:rFonts w:cstheme="minorHAnsi"/>
                <w:b/>
                <w:lang w:val="fr-FR"/>
              </w:rPr>
              <w:footnoteReference w:id="2"/>
            </w:r>
          </w:p>
        </w:tc>
      </w:tr>
      <w:tr w:rsidR="001977AC" w:rsidRPr="00511657" w14:paraId="03E0E9A9" w14:textId="77777777" w:rsidTr="007037E4">
        <w:trPr>
          <w:gridAfter w:val="1"/>
          <w:wAfter w:w="15" w:type="dxa"/>
        </w:trPr>
        <w:tc>
          <w:tcPr>
            <w:tcW w:w="2411" w:type="dxa"/>
          </w:tcPr>
          <w:p w14:paraId="171E16FB" w14:textId="77777777" w:rsidR="001977AC" w:rsidRPr="00511657" w:rsidRDefault="001977AC" w:rsidP="001977AC">
            <w:pPr>
              <w:pStyle w:val="ListParagraph"/>
              <w:numPr>
                <w:ilvl w:val="0"/>
                <w:numId w:val="10"/>
              </w:numPr>
              <w:spacing w:before="120" w:after="120"/>
              <w:jc w:val="both"/>
              <w:rPr>
                <w:rFonts w:cstheme="minorHAnsi"/>
                <w:b/>
              </w:rPr>
            </w:pPr>
            <w:r w:rsidRPr="00511657">
              <w:rPr>
                <w:rFonts w:cstheme="minorHAnsi"/>
                <w:b/>
              </w:rPr>
              <w:t>Description</w:t>
            </w:r>
          </w:p>
        </w:tc>
        <w:tc>
          <w:tcPr>
            <w:tcW w:w="8363" w:type="dxa"/>
          </w:tcPr>
          <w:p w14:paraId="78644EA8" w14:textId="77777777" w:rsidR="001977AC" w:rsidRPr="00581FC8" w:rsidRDefault="001977AC" w:rsidP="007037E4">
            <w:pPr>
              <w:spacing w:after="120" w:line="259" w:lineRule="auto"/>
              <w:jc w:val="both"/>
              <w:rPr>
                <w:rFonts w:cstheme="minorHAnsi"/>
                <w:lang w:val="en-IE"/>
              </w:rPr>
            </w:pPr>
            <w:r w:rsidRPr="00581FC8">
              <w:rPr>
                <w:rFonts w:cstheme="minorHAnsi"/>
                <w:lang w:val="en-IE"/>
              </w:rPr>
              <w:t xml:space="preserve">The Strategic Energy Technology (SET) Plan was launched in 2007 as a first step to establish an energy technology policy for Europe. It provides a common vision, goals, and coordination for accelerating the development and deployment of efficient and cost-competitive low-carbon energy technologies. </w:t>
            </w:r>
          </w:p>
          <w:p w14:paraId="3B2A7B11" w14:textId="77777777" w:rsidR="001977AC" w:rsidRPr="00581FC8" w:rsidRDefault="001977AC" w:rsidP="007037E4">
            <w:pPr>
              <w:spacing w:after="120" w:line="259" w:lineRule="auto"/>
              <w:jc w:val="both"/>
              <w:rPr>
                <w:rFonts w:cstheme="minorHAnsi"/>
              </w:rPr>
            </w:pPr>
            <w:r w:rsidRPr="00581FC8">
              <w:rPr>
                <w:rFonts w:cstheme="minorHAnsi"/>
              </w:rPr>
              <w:t xml:space="preserve">The SET Plan has played a central role in implementing the Research, Innovation &amp; Competitiveness dimension of the Energy Union, and in guiding national research efforts in </w:t>
            </w:r>
            <w:r w:rsidRPr="00581FC8">
              <w:rPr>
                <w:rFonts w:cstheme="minorHAnsi"/>
              </w:rPr>
              <w:lastRenderedPageBreak/>
              <w:t>the National Energy and Climate Plans. It has helped federate national efforts into industrial alliances and Important Projects of Common European Interest (</w:t>
            </w:r>
            <w:proofErr w:type="spellStart"/>
            <w:r w:rsidRPr="00581FC8">
              <w:rPr>
                <w:rFonts w:cstheme="minorHAnsi"/>
              </w:rPr>
              <w:t>IPCEIs</w:t>
            </w:r>
            <w:proofErr w:type="spellEnd"/>
            <w:r w:rsidRPr="00581FC8">
              <w:rPr>
                <w:rFonts w:cstheme="minorHAnsi"/>
              </w:rPr>
              <w:t>). Recently, it has also enabled its participating countries to pool more than EUR 500 million to jointly support - with an EU topp</w:t>
            </w:r>
            <w:r>
              <w:rPr>
                <w:rFonts w:cstheme="minorHAnsi"/>
              </w:rPr>
              <w:t xml:space="preserve">ing up of </w:t>
            </w:r>
            <w:r w:rsidRPr="00581FC8">
              <w:rPr>
                <w:rFonts w:cstheme="minorHAnsi"/>
              </w:rPr>
              <w:t xml:space="preserve">210 </w:t>
            </w:r>
            <w:proofErr w:type="spellStart"/>
            <w:r w:rsidRPr="00581FC8">
              <w:rPr>
                <w:rFonts w:cstheme="minorHAnsi"/>
              </w:rPr>
              <w:t>MEUR</w:t>
            </w:r>
            <w:proofErr w:type="spellEnd"/>
            <w:r w:rsidRPr="00581FC8">
              <w:rPr>
                <w:rFonts w:cstheme="minorHAnsi"/>
              </w:rPr>
              <w:t xml:space="preserve"> - a wave of clean energy transition projects</w:t>
            </w:r>
            <w:r w:rsidRPr="00581FC8">
              <w:rPr>
                <w:rStyle w:val="FootnoteReference"/>
                <w:rFonts w:cstheme="minorHAnsi"/>
              </w:rPr>
              <w:footnoteReference w:id="3"/>
            </w:r>
            <w:r w:rsidRPr="00581FC8">
              <w:rPr>
                <w:rFonts w:cstheme="minorHAnsi"/>
              </w:rPr>
              <w:t>.</w:t>
            </w:r>
          </w:p>
          <w:p w14:paraId="67C014B7" w14:textId="77777777" w:rsidR="001977AC" w:rsidRPr="00581FC8" w:rsidRDefault="001977AC" w:rsidP="007037E4">
            <w:pPr>
              <w:pStyle w:val="TableParagraph"/>
              <w:spacing w:before="240" w:after="240"/>
              <w:ind w:left="0" w:right="113"/>
              <w:rPr>
                <w:rFonts w:asciiTheme="minorHAnsi" w:hAnsiTheme="minorHAnsi" w:cstheme="minorHAnsi"/>
                <w:color w:val="000000" w:themeColor="text1"/>
                <w:lang w:val="en-IE"/>
              </w:rPr>
            </w:pPr>
            <w:r w:rsidRPr="00581FC8">
              <w:rPr>
                <w:rFonts w:asciiTheme="minorHAnsi" w:hAnsiTheme="minorHAnsi" w:cstheme="minorHAnsi"/>
                <w:lang w:val="en-IE"/>
              </w:rPr>
              <w:t xml:space="preserve">However, since the last SET Plan update in 2015, the EU energy agenda has changed considerably, requiring a review of the objectives, governance, scope, and activities of the SET Plan. The work in the SET Plan itself has extended to go beyond pure technology development, looking also on cross cutting issues like circularity and sustainability, education and skills for new technologies, citizens’ needs and behaviour. </w:t>
            </w:r>
          </w:p>
          <w:p w14:paraId="4EE78CA4" w14:textId="77777777" w:rsidR="001977AC" w:rsidRPr="00511657" w:rsidRDefault="001977AC" w:rsidP="007037E4">
            <w:pPr>
              <w:pStyle w:val="Text1"/>
              <w:ind w:left="0"/>
              <w:rPr>
                <w:rFonts w:eastAsia="Calibri" w:cstheme="minorHAnsi"/>
              </w:rPr>
            </w:pPr>
            <w:r w:rsidRPr="00581FC8">
              <w:rPr>
                <w:rFonts w:asciiTheme="minorHAnsi" w:hAnsiTheme="minorHAnsi" w:cstheme="minorHAnsi"/>
              </w:rPr>
              <w:t xml:space="preserve">The revision of the SET Plan aims at better supporting the European Green Deal objectives, making the SET Plan compatible with the ‘fit for 55’ package,  the 2050 decarbonisation goal, the </w:t>
            </w:r>
            <w:proofErr w:type="spellStart"/>
            <w:r w:rsidRPr="00581FC8">
              <w:rPr>
                <w:rFonts w:asciiTheme="minorHAnsi" w:hAnsiTheme="minorHAnsi" w:cstheme="minorHAnsi"/>
              </w:rPr>
              <w:t>REPowerEU</w:t>
            </w:r>
            <w:proofErr w:type="spellEnd"/>
            <w:r w:rsidRPr="00581FC8">
              <w:rPr>
                <w:rFonts w:asciiTheme="minorHAnsi" w:hAnsiTheme="minorHAnsi" w:cstheme="minorHAnsi"/>
              </w:rPr>
              <w:t xml:space="preserve"> initiative,</w:t>
            </w:r>
            <w:r w:rsidRPr="00581FC8">
              <w:rPr>
                <w:rFonts w:asciiTheme="minorHAnsi" w:eastAsia="Arial" w:hAnsiTheme="minorHAnsi" w:cstheme="minorHAnsi"/>
              </w:rPr>
              <w:t xml:space="preserve"> as well as with the new European Research Area Policy Agenda</w:t>
            </w:r>
            <w:r w:rsidRPr="00581FC8">
              <w:rPr>
                <w:rFonts w:asciiTheme="minorHAnsi" w:hAnsiTheme="minorHAnsi" w:cstheme="minorHAnsi"/>
              </w:rPr>
              <w:t xml:space="preserve">, while ensuring continued support to longer term research on new clean energy sources. </w:t>
            </w:r>
            <w:r w:rsidRPr="00581FC8">
              <w:rPr>
                <w:rFonts w:asciiTheme="minorHAnsi" w:eastAsia="Arial" w:hAnsiTheme="minorHAnsi" w:cstheme="minorHAnsi"/>
              </w:rPr>
              <w:t xml:space="preserve">Connecting Member States’ and Commission’s activities in improving the sustainable energy value chain, through research and deployment activities, will be essential for making the EU less dependent from energy imports, while contributing to a new clean economy and ensuring affordable clean energy for all.   </w:t>
            </w:r>
          </w:p>
          <w:p w14:paraId="240B5974" w14:textId="77777777" w:rsidR="001977AC" w:rsidRPr="00581FC8" w:rsidRDefault="001977AC" w:rsidP="007037E4">
            <w:pPr>
              <w:pStyle w:val="TableParagraph"/>
              <w:spacing w:before="240" w:after="240"/>
              <w:ind w:left="0" w:right="113"/>
              <w:rPr>
                <w:rFonts w:asciiTheme="minorHAnsi" w:hAnsiTheme="minorHAnsi" w:cstheme="minorHAnsi"/>
                <w:lang w:val="en-GB"/>
              </w:rPr>
            </w:pPr>
            <w:r w:rsidRPr="00581FC8">
              <w:rPr>
                <w:rFonts w:asciiTheme="minorHAnsi" w:hAnsiTheme="minorHAnsi" w:cstheme="minorHAnsi"/>
                <w:lang w:val="en-GB"/>
              </w:rPr>
              <w:t>The renewed SET Plan therefore aims at tackling the following problems:</w:t>
            </w:r>
          </w:p>
          <w:p w14:paraId="627383DE" w14:textId="77777777" w:rsidR="001977AC" w:rsidRPr="00581FC8" w:rsidRDefault="001977AC" w:rsidP="001977AC">
            <w:pPr>
              <w:pStyle w:val="TableParagraph"/>
              <w:numPr>
                <w:ilvl w:val="0"/>
                <w:numId w:val="19"/>
              </w:numPr>
              <w:spacing w:before="240" w:after="240"/>
              <w:ind w:right="113"/>
              <w:rPr>
                <w:rFonts w:asciiTheme="minorHAnsi" w:hAnsiTheme="minorHAnsi" w:cstheme="minorHAnsi"/>
                <w:lang w:val="en-GB"/>
              </w:rPr>
            </w:pPr>
            <w:r w:rsidRPr="00581FC8">
              <w:rPr>
                <w:rFonts w:asciiTheme="minorHAnsi" w:hAnsiTheme="minorHAnsi" w:cstheme="minorHAnsi"/>
                <w:lang w:val="en-GB"/>
              </w:rPr>
              <w:t xml:space="preserve">Strong need to increase efficiency, both in energy and cost, of clean energy value chains, including at industrial production level, </w:t>
            </w:r>
          </w:p>
          <w:p w14:paraId="0496B57E" w14:textId="77777777" w:rsidR="001977AC" w:rsidRPr="00581FC8" w:rsidRDefault="001977AC" w:rsidP="001977AC">
            <w:pPr>
              <w:pStyle w:val="TableParagraph"/>
              <w:numPr>
                <w:ilvl w:val="0"/>
                <w:numId w:val="19"/>
              </w:numPr>
              <w:spacing w:before="240" w:after="240"/>
              <w:ind w:right="113"/>
              <w:rPr>
                <w:rFonts w:asciiTheme="minorHAnsi" w:hAnsiTheme="minorHAnsi" w:cstheme="minorHAnsi"/>
                <w:lang w:val="en-GB"/>
              </w:rPr>
            </w:pPr>
            <w:r w:rsidRPr="00581FC8">
              <w:rPr>
                <w:rFonts w:asciiTheme="minorHAnsi" w:hAnsiTheme="minorHAnsi" w:cstheme="minorHAnsi"/>
                <w:lang w:val="en-GB"/>
              </w:rPr>
              <w:t xml:space="preserve">Low speed of development and deployment of clean energy technologies; </w:t>
            </w:r>
          </w:p>
          <w:p w14:paraId="24BD4E16" w14:textId="77777777" w:rsidR="001977AC" w:rsidRPr="00581FC8" w:rsidRDefault="001977AC" w:rsidP="001977AC">
            <w:pPr>
              <w:pStyle w:val="TableParagraph"/>
              <w:numPr>
                <w:ilvl w:val="0"/>
                <w:numId w:val="19"/>
              </w:numPr>
              <w:spacing w:before="240" w:after="240"/>
              <w:ind w:right="113"/>
              <w:rPr>
                <w:rFonts w:asciiTheme="minorHAnsi" w:hAnsiTheme="minorHAnsi" w:cstheme="minorHAnsi"/>
                <w:lang w:val="en-GB"/>
              </w:rPr>
            </w:pPr>
            <w:r w:rsidRPr="00581FC8">
              <w:rPr>
                <w:rFonts w:asciiTheme="minorHAnsi" w:hAnsiTheme="minorHAnsi" w:cstheme="minorHAnsi"/>
                <w:lang w:val="en-GB"/>
              </w:rPr>
              <w:t xml:space="preserve">Lack of an overall strategy to exploit synergies between the </w:t>
            </w:r>
            <w:proofErr w:type="spellStart"/>
            <w:r w:rsidRPr="00581FC8">
              <w:rPr>
                <w:rFonts w:asciiTheme="minorHAnsi" w:hAnsiTheme="minorHAnsi" w:cstheme="minorHAnsi"/>
                <w:lang w:val="en-GB"/>
              </w:rPr>
              <w:t>R&amp;I</w:t>
            </w:r>
            <w:proofErr w:type="spellEnd"/>
            <w:r w:rsidRPr="00581FC8">
              <w:rPr>
                <w:rFonts w:asciiTheme="minorHAnsi" w:hAnsiTheme="minorHAnsi" w:cstheme="minorHAnsi"/>
                <w:lang w:val="en-GB"/>
              </w:rPr>
              <w:t xml:space="preserve"> strategies and landscape at national, European and international level and extend to develop synergies also between the various legal instruments and financial support for </w:t>
            </w:r>
            <w:proofErr w:type="spellStart"/>
            <w:r w:rsidRPr="00581FC8">
              <w:rPr>
                <w:rFonts w:asciiTheme="minorHAnsi" w:hAnsiTheme="minorHAnsi" w:cstheme="minorHAnsi"/>
                <w:lang w:val="en-GB"/>
              </w:rPr>
              <w:t>R&amp;I</w:t>
            </w:r>
            <w:proofErr w:type="spellEnd"/>
            <w:r w:rsidRPr="00581FC8">
              <w:rPr>
                <w:rFonts w:asciiTheme="minorHAnsi" w:hAnsiTheme="minorHAnsi" w:cstheme="minorHAnsi"/>
                <w:lang w:val="en-GB"/>
              </w:rPr>
              <w:t xml:space="preserve"> at national and EU level;</w:t>
            </w:r>
          </w:p>
          <w:p w14:paraId="0D695506" w14:textId="77777777" w:rsidR="001977AC" w:rsidRPr="00581FC8" w:rsidRDefault="001977AC" w:rsidP="001977AC">
            <w:pPr>
              <w:pStyle w:val="TableParagraph"/>
              <w:numPr>
                <w:ilvl w:val="0"/>
                <w:numId w:val="19"/>
              </w:numPr>
              <w:spacing w:before="240" w:after="240"/>
              <w:ind w:right="113"/>
              <w:rPr>
                <w:rFonts w:asciiTheme="minorHAnsi" w:hAnsiTheme="minorHAnsi" w:cstheme="minorHAnsi"/>
                <w:lang w:val="en-GB"/>
              </w:rPr>
            </w:pPr>
            <w:r w:rsidRPr="00F57840">
              <w:rPr>
                <w:rFonts w:asciiTheme="minorHAnsi" w:hAnsiTheme="minorHAnsi" w:cstheme="minorHAnsi"/>
                <w:lang w:val="en-GB"/>
              </w:rPr>
              <w:t xml:space="preserve">Insufficient </w:t>
            </w:r>
            <w:r w:rsidRPr="00581FC8">
              <w:rPr>
                <w:rFonts w:asciiTheme="minorHAnsi" w:hAnsiTheme="minorHAnsi" w:cstheme="minorHAnsi"/>
                <w:lang w:val="en-GB"/>
              </w:rPr>
              <w:t xml:space="preserve">attention to cross-cutting issues in the SET Plan, such as environmental ones (sustainability, circularity, best use of planet resources) and citizens’ needs approach (health, safety, security, availability and affordability, public engagement). </w:t>
            </w:r>
          </w:p>
          <w:p w14:paraId="1CEF6F0B" w14:textId="77777777" w:rsidR="001977AC" w:rsidRPr="00581FC8" w:rsidRDefault="001977AC" w:rsidP="001977AC">
            <w:pPr>
              <w:pStyle w:val="TableParagraph"/>
              <w:numPr>
                <w:ilvl w:val="0"/>
                <w:numId w:val="19"/>
              </w:numPr>
              <w:spacing w:before="240" w:after="240"/>
              <w:ind w:right="113"/>
              <w:rPr>
                <w:rFonts w:asciiTheme="minorHAnsi" w:hAnsiTheme="minorHAnsi" w:cstheme="minorHAnsi"/>
                <w:lang w:val="en-GB"/>
              </w:rPr>
            </w:pPr>
            <w:r w:rsidRPr="00581FC8">
              <w:rPr>
                <w:rFonts w:asciiTheme="minorHAnsi" w:hAnsiTheme="minorHAnsi" w:cstheme="minorHAnsi"/>
                <w:lang w:val="en-GB"/>
              </w:rPr>
              <w:t>Better considering domains or technologies which have emerged and reached close to market since the creation of the SET Plan, such as hydrogen, digitalisation and materials;</w:t>
            </w:r>
          </w:p>
          <w:p w14:paraId="2883C4C0" w14:textId="77777777" w:rsidR="001977AC" w:rsidRPr="00581FC8" w:rsidRDefault="001977AC" w:rsidP="001977AC">
            <w:pPr>
              <w:pStyle w:val="TableParagraph"/>
              <w:numPr>
                <w:ilvl w:val="0"/>
                <w:numId w:val="19"/>
              </w:numPr>
              <w:spacing w:before="240" w:after="240"/>
              <w:ind w:right="113"/>
              <w:rPr>
                <w:rFonts w:asciiTheme="minorHAnsi" w:hAnsiTheme="minorHAnsi" w:cstheme="minorHAnsi"/>
                <w:lang w:val="en-GB"/>
              </w:rPr>
            </w:pPr>
            <w:r w:rsidRPr="00581FC8">
              <w:rPr>
                <w:rFonts w:asciiTheme="minorHAnsi" w:hAnsiTheme="minorHAnsi" w:cstheme="minorHAnsi"/>
                <w:lang w:val="en-GB"/>
              </w:rPr>
              <w:t>Need to increase Research, Innovation and Competitiveness chapters in the National Energy and Climate Plans.</w:t>
            </w:r>
          </w:p>
          <w:p w14:paraId="621FC5BA" w14:textId="77777777" w:rsidR="001977AC" w:rsidRPr="00511657" w:rsidRDefault="001977AC" w:rsidP="007037E4">
            <w:pPr>
              <w:jc w:val="both"/>
              <w:rPr>
                <w:rFonts w:eastAsia="Calibri" w:cstheme="minorHAnsi"/>
              </w:rPr>
            </w:pPr>
          </w:p>
          <w:p w14:paraId="77F15173" w14:textId="77777777" w:rsidR="001977AC" w:rsidRDefault="001977AC" w:rsidP="007037E4">
            <w:pPr>
              <w:jc w:val="both"/>
              <w:rPr>
                <w:rFonts w:eastAsia="Calibri" w:cstheme="minorHAnsi"/>
              </w:rPr>
            </w:pPr>
            <w:r w:rsidRPr="00511657">
              <w:rPr>
                <w:rFonts w:eastAsia="Calibri" w:cstheme="minorHAnsi"/>
              </w:rPr>
              <w:t>The objectives of the revision of the SET Plan are the following:</w:t>
            </w:r>
          </w:p>
          <w:p w14:paraId="7FCEA3A8" w14:textId="77777777" w:rsidR="001977AC" w:rsidRPr="00511657" w:rsidRDefault="001977AC" w:rsidP="007037E4">
            <w:pPr>
              <w:jc w:val="both"/>
              <w:rPr>
                <w:rFonts w:eastAsia="Calibri" w:cstheme="minorHAnsi"/>
              </w:rPr>
            </w:pPr>
          </w:p>
          <w:p w14:paraId="3569600A" w14:textId="77777777" w:rsidR="001977AC" w:rsidRPr="00511657" w:rsidRDefault="001977AC" w:rsidP="001977AC">
            <w:pPr>
              <w:pStyle w:val="ListParagraph"/>
              <w:numPr>
                <w:ilvl w:val="0"/>
                <w:numId w:val="11"/>
              </w:numPr>
              <w:jc w:val="both"/>
              <w:rPr>
                <w:rFonts w:eastAsia="Calibri" w:cstheme="minorHAnsi"/>
              </w:rPr>
            </w:pPr>
            <w:r w:rsidRPr="00511657">
              <w:rPr>
                <w:rFonts w:eastAsia="Calibri" w:cstheme="minorHAnsi"/>
              </w:rPr>
              <w:lastRenderedPageBreak/>
              <w:t xml:space="preserve">To push the initiative and the overall European research </w:t>
            </w:r>
            <w:r>
              <w:rPr>
                <w:rFonts w:eastAsia="Calibri" w:cstheme="minorHAnsi"/>
              </w:rPr>
              <w:t xml:space="preserve">and innovation </w:t>
            </w:r>
            <w:r w:rsidRPr="00511657">
              <w:rPr>
                <w:rFonts w:eastAsia="Calibri" w:cstheme="minorHAnsi"/>
              </w:rPr>
              <w:t>forward in fostering emerging technologies for reaching the EU’s 2050 targets, with balanced acceleration of the rollout of technologies expected to bring impact by 2030.</w:t>
            </w:r>
          </w:p>
          <w:p w14:paraId="26962ACA" w14:textId="77777777" w:rsidR="001977AC" w:rsidRPr="00F57840" w:rsidRDefault="001977AC" w:rsidP="001977AC">
            <w:pPr>
              <w:pStyle w:val="ListParagraph"/>
              <w:numPr>
                <w:ilvl w:val="0"/>
                <w:numId w:val="11"/>
              </w:numPr>
              <w:jc w:val="both"/>
              <w:rPr>
                <w:rFonts w:eastAsia="Calibri" w:cstheme="minorHAnsi"/>
              </w:rPr>
            </w:pPr>
            <w:r w:rsidRPr="00511657">
              <w:rPr>
                <w:rFonts w:eastAsia="Calibri" w:cstheme="minorHAnsi"/>
              </w:rPr>
              <w:t>To build momentum</w:t>
            </w:r>
            <w:r w:rsidRPr="00F57840">
              <w:rPr>
                <w:rFonts w:eastAsia="Calibri" w:cstheme="minorHAnsi"/>
              </w:rPr>
              <w:t xml:space="preserve"> and support stronger MS involvement in updating their </w:t>
            </w:r>
            <w:proofErr w:type="spellStart"/>
            <w:r w:rsidRPr="00F57840">
              <w:rPr>
                <w:rFonts w:eastAsia="Calibri" w:cstheme="minorHAnsi"/>
              </w:rPr>
              <w:t>R&amp;I</w:t>
            </w:r>
            <w:proofErr w:type="spellEnd"/>
            <w:r w:rsidRPr="00F57840">
              <w:rPr>
                <w:rFonts w:eastAsia="Calibri" w:cstheme="minorHAnsi"/>
              </w:rPr>
              <w:t xml:space="preserve"> energy roadmaps to meet the ambitious goal of the </w:t>
            </w:r>
            <w:proofErr w:type="spellStart"/>
            <w:r w:rsidRPr="00F57840">
              <w:rPr>
                <w:rFonts w:eastAsia="Calibri" w:cstheme="minorHAnsi"/>
              </w:rPr>
              <w:t>EGD</w:t>
            </w:r>
            <w:proofErr w:type="spellEnd"/>
            <w:r w:rsidRPr="00F57840">
              <w:rPr>
                <w:rFonts w:eastAsia="Calibri" w:cstheme="minorHAnsi"/>
              </w:rPr>
              <w:t>.</w:t>
            </w:r>
          </w:p>
          <w:p w14:paraId="69F441F9" w14:textId="77777777" w:rsidR="001977AC" w:rsidRPr="00F57840" w:rsidRDefault="001977AC" w:rsidP="001977AC">
            <w:pPr>
              <w:pStyle w:val="ListParagraph"/>
              <w:numPr>
                <w:ilvl w:val="0"/>
                <w:numId w:val="11"/>
              </w:numPr>
              <w:jc w:val="both"/>
              <w:rPr>
                <w:rFonts w:eastAsia="Calibri" w:cstheme="minorHAnsi"/>
              </w:rPr>
            </w:pPr>
            <w:r w:rsidRPr="00F57840">
              <w:rPr>
                <w:rFonts w:eastAsia="Calibri" w:cstheme="minorHAnsi"/>
              </w:rPr>
              <w:t>To strengthen the synergies between EU, national and regional funding sources and push deployment of clean energy technologies.</w:t>
            </w:r>
          </w:p>
          <w:p w14:paraId="5A93EF4E" w14:textId="77777777" w:rsidR="001977AC" w:rsidRPr="00F57840" w:rsidRDefault="001977AC" w:rsidP="001977AC">
            <w:pPr>
              <w:pStyle w:val="ListParagraph"/>
              <w:numPr>
                <w:ilvl w:val="0"/>
                <w:numId w:val="11"/>
              </w:numPr>
              <w:jc w:val="both"/>
              <w:rPr>
                <w:rFonts w:eastAsia="Calibri" w:cstheme="minorHAnsi"/>
              </w:rPr>
            </w:pPr>
            <w:r w:rsidRPr="00F57840">
              <w:rPr>
                <w:rFonts w:eastAsia="Calibri" w:cstheme="minorHAnsi"/>
              </w:rPr>
              <w:t>To refocus, revisit and regroup the multitude of targets in the different working groups, and concentrate on a set of overarching strategic objectives and targets in a more mission-oriented approach.</w:t>
            </w:r>
          </w:p>
          <w:p w14:paraId="78507B38" w14:textId="77777777" w:rsidR="001977AC" w:rsidRPr="00F57840" w:rsidRDefault="001977AC" w:rsidP="001977AC">
            <w:pPr>
              <w:pStyle w:val="ListParagraph"/>
              <w:numPr>
                <w:ilvl w:val="0"/>
                <w:numId w:val="11"/>
              </w:numPr>
              <w:jc w:val="both"/>
              <w:rPr>
                <w:rFonts w:eastAsia="Calibri" w:cstheme="minorHAnsi"/>
              </w:rPr>
            </w:pPr>
            <w:r w:rsidRPr="00F57840">
              <w:rPr>
                <w:rFonts w:eastAsia="Calibri" w:cstheme="minorHAnsi"/>
              </w:rPr>
              <w:t>To rethink the SET Plan governance in order to align it to the new objectives.</w:t>
            </w:r>
          </w:p>
          <w:p w14:paraId="42940529" w14:textId="77777777" w:rsidR="001977AC" w:rsidRPr="00F57840" w:rsidRDefault="001977AC" w:rsidP="007037E4">
            <w:pPr>
              <w:jc w:val="both"/>
              <w:rPr>
                <w:rFonts w:eastAsia="Calibri" w:cstheme="minorHAnsi"/>
              </w:rPr>
            </w:pPr>
          </w:p>
          <w:p w14:paraId="4396CC70" w14:textId="77777777" w:rsidR="001977AC" w:rsidRPr="00F57840" w:rsidRDefault="001977AC" w:rsidP="007037E4">
            <w:pPr>
              <w:jc w:val="both"/>
              <w:rPr>
                <w:rFonts w:eastAsia="Calibri" w:cstheme="minorHAnsi"/>
              </w:rPr>
            </w:pPr>
            <w:r w:rsidRPr="00F57840">
              <w:rPr>
                <w:rFonts w:eastAsia="Calibri" w:cstheme="minorHAnsi"/>
              </w:rPr>
              <w:t xml:space="preserve">Ongoing actions: </w:t>
            </w:r>
          </w:p>
          <w:p w14:paraId="0B2DB6AA" w14:textId="77777777" w:rsidR="001977AC" w:rsidRPr="00F57840" w:rsidRDefault="001977AC" w:rsidP="007037E4">
            <w:pPr>
              <w:jc w:val="both"/>
              <w:rPr>
                <w:rFonts w:eastAsia="Calibri" w:cstheme="minorHAnsi"/>
              </w:rPr>
            </w:pPr>
            <w:r w:rsidRPr="00F57840">
              <w:rPr>
                <w:rFonts w:eastAsia="Calibri" w:cstheme="minorHAnsi"/>
              </w:rPr>
              <w:t>The SET Plan is currently implemented by now 14 Implementation Working Groups (</w:t>
            </w:r>
            <w:proofErr w:type="spellStart"/>
            <w:r w:rsidRPr="00F57840">
              <w:rPr>
                <w:rFonts w:eastAsia="Calibri" w:cstheme="minorHAnsi"/>
              </w:rPr>
              <w:t>IWG</w:t>
            </w:r>
            <w:proofErr w:type="spellEnd"/>
            <w:r w:rsidRPr="00F57840">
              <w:rPr>
                <w:rFonts w:eastAsia="Calibri" w:cstheme="minorHAnsi"/>
              </w:rPr>
              <w:t xml:space="preserve">), focused on the 10 SET Plan key actions.  Each of the </w:t>
            </w:r>
            <w:proofErr w:type="spellStart"/>
            <w:r w:rsidRPr="00F57840">
              <w:rPr>
                <w:rFonts w:eastAsia="Calibri" w:cstheme="minorHAnsi"/>
              </w:rPr>
              <w:t>IWG</w:t>
            </w:r>
            <w:proofErr w:type="spellEnd"/>
            <w:r w:rsidRPr="00F57840">
              <w:rPr>
                <w:rFonts w:eastAsia="Calibri" w:cstheme="minorHAnsi"/>
              </w:rPr>
              <w:t xml:space="preserve"> has set an Implementation Plan (IP) with identified </w:t>
            </w:r>
            <w:proofErr w:type="spellStart"/>
            <w:r w:rsidRPr="00F57840">
              <w:rPr>
                <w:rFonts w:eastAsia="Calibri" w:cstheme="minorHAnsi"/>
              </w:rPr>
              <w:t>R&amp;I</w:t>
            </w:r>
            <w:proofErr w:type="spellEnd"/>
            <w:r w:rsidRPr="00F57840">
              <w:rPr>
                <w:rFonts w:eastAsia="Calibri" w:cstheme="minorHAnsi"/>
              </w:rPr>
              <w:t xml:space="preserve"> activities and clear and measurable targets. The IPs have been revised to align the targets with the ambitious ones of the </w:t>
            </w:r>
            <w:proofErr w:type="spellStart"/>
            <w:r w:rsidRPr="00F57840">
              <w:rPr>
                <w:rFonts w:eastAsia="Calibri" w:cstheme="minorHAnsi"/>
              </w:rPr>
              <w:t>EGD</w:t>
            </w:r>
            <w:proofErr w:type="spellEnd"/>
            <w:r w:rsidRPr="00F57840">
              <w:rPr>
                <w:rFonts w:eastAsia="Calibri" w:cstheme="minorHAnsi"/>
              </w:rPr>
              <w:t xml:space="preserve">. However, the structure of the </w:t>
            </w:r>
            <w:proofErr w:type="spellStart"/>
            <w:r w:rsidRPr="00F57840">
              <w:rPr>
                <w:rFonts w:eastAsia="Calibri" w:cstheme="minorHAnsi"/>
              </w:rPr>
              <w:t>IWG</w:t>
            </w:r>
            <w:proofErr w:type="spellEnd"/>
            <w:r w:rsidRPr="00F57840">
              <w:rPr>
                <w:rFonts w:eastAsia="Calibri" w:cstheme="minorHAnsi"/>
              </w:rPr>
              <w:t xml:space="preserve"> and, more globally, the governance of the SET Plan have not been adjusted to the new situation and new objectives, for instance in the area of prioritisation and for synergies with other relevant actions like investment programmes. </w:t>
            </w:r>
          </w:p>
          <w:p w14:paraId="73C5404B" w14:textId="77777777" w:rsidR="001977AC" w:rsidRPr="00F57840" w:rsidRDefault="001977AC" w:rsidP="007037E4">
            <w:pPr>
              <w:jc w:val="both"/>
              <w:rPr>
                <w:rFonts w:eastAsia="Calibri" w:cstheme="minorHAnsi"/>
              </w:rPr>
            </w:pPr>
          </w:p>
          <w:p w14:paraId="71406159" w14:textId="77777777" w:rsidR="001977AC" w:rsidRPr="00511657" w:rsidRDefault="001977AC" w:rsidP="007037E4">
            <w:pPr>
              <w:jc w:val="both"/>
              <w:rPr>
                <w:rFonts w:eastAsia="Calibri" w:cstheme="minorHAnsi"/>
              </w:rPr>
            </w:pPr>
            <w:r w:rsidRPr="00511657">
              <w:rPr>
                <w:rFonts w:eastAsia="Calibri" w:cstheme="minorHAnsi"/>
              </w:rPr>
              <w:t>As revision of the SET Plan will be done through:</w:t>
            </w:r>
          </w:p>
          <w:p w14:paraId="4DE386F2" w14:textId="77777777" w:rsidR="001977AC" w:rsidRPr="00511657" w:rsidRDefault="001977AC" w:rsidP="001977AC">
            <w:pPr>
              <w:numPr>
                <w:ilvl w:val="0"/>
                <w:numId w:val="11"/>
              </w:numPr>
              <w:jc w:val="both"/>
              <w:rPr>
                <w:rFonts w:cstheme="minorHAnsi"/>
              </w:rPr>
            </w:pPr>
            <w:r w:rsidRPr="00511657">
              <w:rPr>
                <w:rFonts w:eastAsia="Calibri" w:cstheme="minorHAnsi"/>
              </w:rPr>
              <w:t>Interim evaluation of the initiative</w:t>
            </w:r>
          </w:p>
          <w:p w14:paraId="2CBCD63F" w14:textId="77777777" w:rsidR="001977AC" w:rsidRPr="00511657" w:rsidRDefault="001977AC" w:rsidP="001977AC">
            <w:pPr>
              <w:numPr>
                <w:ilvl w:val="0"/>
                <w:numId w:val="11"/>
              </w:numPr>
              <w:jc w:val="both"/>
              <w:rPr>
                <w:rFonts w:cstheme="minorHAnsi"/>
              </w:rPr>
            </w:pPr>
            <w:r w:rsidRPr="00511657">
              <w:rPr>
                <w:rFonts w:cstheme="minorHAnsi"/>
              </w:rPr>
              <w:t>Targeted public consultation</w:t>
            </w:r>
          </w:p>
          <w:p w14:paraId="6373EAAD" w14:textId="77777777" w:rsidR="001977AC" w:rsidRPr="00511657" w:rsidRDefault="001977AC" w:rsidP="001977AC">
            <w:pPr>
              <w:numPr>
                <w:ilvl w:val="0"/>
                <w:numId w:val="11"/>
              </w:numPr>
              <w:jc w:val="both"/>
              <w:rPr>
                <w:rFonts w:cstheme="minorHAnsi"/>
              </w:rPr>
            </w:pPr>
            <w:r w:rsidRPr="00511657">
              <w:rPr>
                <w:rFonts w:cstheme="minorHAnsi"/>
              </w:rPr>
              <w:t xml:space="preserve">Working groups with the MS and SET Plan stakeholders </w:t>
            </w:r>
          </w:p>
          <w:p w14:paraId="70FEED19" w14:textId="77777777" w:rsidR="001977AC" w:rsidRPr="00511657" w:rsidRDefault="001977AC" w:rsidP="001977AC">
            <w:pPr>
              <w:numPr>
                <w:ilvl w:val="0"/>
                <w:numId w:val="11"/>
              </w:numPr>
              <w:jc w:val="both"/>
              <w:rPr>
                <w:rFonts w:cstheme="minorHAnsi"/>
              </w:rPr>
            </w:pPr>
            <w:r w:rsidRPr="00511657">
              <w:rPr>
                <w:rFonts w:cstheme="minorHAnsi"/>
              </w:rPr>
              <w:t>Informative discussion at the EP</w:t>
            </w:r>
          </w:p>
          <w:p w14:paraId="7EDADAC1" w14:textId="77777777" w:rsidR="001977AC" w:rsidRPr="00511657" w:rsidRDefault="001977AC" w:rsidP="001977AC">
            <w:pPr>
              <w:numPr>
                <w:ilvl w:val="0"/>
                <w:numId w:val="11"/>
              </w:numPr>
              <w:jc w:val="both"/>
              <w:rPr>
                <w:rFonts w:cstheme="minorHAnsi"/>
              </w:rPr>
            </w:pPr>
            <w:r w:rsidRPr="00511657">
              <w:rPr>
                <w:rFonts w:cstheme="minorHAnsi"/>
              </w:rPr>
              <w:t>Preparation of a joint Communication on the SET plan revision</w:t>
            </w:r>
          </w:p>
          <w:p w14:paraId="2D0715ED" w14:textId="77777777" w:rsidR="001977AC" w:rsidRPr="00511657" w:rsidRDefault="001977AC" w:rsidP="001977AC">
            <w:pPr>
              <w:numPr>
                <w:ilvl w:val="0"/>
                <w:numId w:val="11"/>
              </w:numPr>
              <w:jc w:val="both"/>
              <w:rPr>
                <w:rFonts w:cstheme="minorHAnsi"/>
              </w:rPr>
            </w:pPr>
            <w:r w:rsidRPr="00511657">
              <w:rPr>
                <w:rFonts w:cstheme="minorHAnsi"/>
              </w:rPr>
              <w:t>Discussion at the Council and further Commission proposals if needed</w:t>
            </w:r>
          </w:p>
        </w:tc>
      </w:tr>
      <w:tr w:rsidR="001977AC" w:rsidRPr="00511657" w14:paraId="67E4BCB3" w14:textId="77777777" w:rsidTr="007037E4">
        <w:trPr>
          <w:gridAfter w:val="1"/>
          <w:wAfter w:w="15" w:type="dxa"/>
        </w:trPr>
        <w:tc>
          <w:tcPr>
            <w:tcW w:w="2411" w:type="dxa"/>
          </w:tcPr>
          <w:p w14:paraId="6670B396" w14:textId="77777777" w:rsidR="001977AC" w:rsidRPr="00511657" w:rsidRDefault="001977AC" w:rsidP="001977AC">
            <w:pPr>
              <w:pStyle w:val="ListParagraph"/>
              <w:numPr>
                <w:ilvl w:val="0"/>
                <w:numId w:val="10"/>
              </w:numPr>
              <w:spacing w:before="120" w:after="120"/>
              <w:jc w:val="both"/>
              <w:rPr>
                <w:rFonts w:cstheme="minorHAnsi"/>
                <w:b/>
              </w:rPr>
            </w:pPr>
            <w:r w:rsidRPr="00511657">
              <w:rPr>
                <w:rFonts w:cstheme="minorHAnsi"/>
                <w:b/>
              </w:rPr>
              <w:lastRenderedPageBreak/>
              <w:t>Actors</w:t>
            </w:r>
          </w:p>
        </w:tc>
        <w:tc>
          <w:tcPr>
            <w:tcW w:w="8363" w:type="dxa"/>
          </w:tcPr>
          <w:p w14:paraId="0CA66E5E" w14:textId="77777777" w:rsidR="001977AC" w:rsidRPr="00511657" w:rsidRDefault="001977AC" w:rsidP="007037E4">
            <w:pPr>
              <w:spacing w:before="120" w:after="120"/>
              <w:jc w:val="both"/>
              <w:rPr>
                <w:rFonts w:cstheme="minorHAnsi"/>
              </w:rPr>
            </w:pPr>
            <w:r w:rsidRPr="00511657">
              <w:rPr>
                <w:rFonts w:cstheme="minorHAnsi"/>
              </w:rPr>
              <w:t xml:space="preserve">The implementation of this action will be done by all Member States jointly with the EC and the Associated Countries. Meanwhile, </w:t>
            </w:r>
            <w:proofErr w:type="spellStart"/>
            <w:r w:rsidRPr="00511657">
              <w:rPr>
                <w:rFonts w:cstheme="minorHAnsi"/>
              </w:rPr>
              <w:t>EERA</w:t>
            </w:r>
            <w:proofErr w:type="spellEnd"/>
            <w:r w:rsidRPr="00511657">
              <w:rPr>
                <w:rFonts w:cstheme="minorHAnsi"/>
              </w:rPr>
              <w:t xml:space="preserve"> represents the research pillar of the SET Plan.</w:t>
            </w:r>
          </w:p>
        </w:tc>
      </w:tr>
      <w:tr w:rsidR="001977AC" w:rsidRPr="00511657" w14:paraId="1CF866A0" w14:textId="77777777" w:rsidTr="007037E4">
        <w:trPr>
          <w:gridAfter w:val="1"/>
          <w:wAfter w:w="15" w:type="dxa"/>
        </w:trPr>
        <w:tc>
          <w:tcPr>
            <w:tcW w:w="2411" w:type="dxa"/>
          </w:tcPr>
          <w:p w14:paraId="4D2813D7" w14:textId="77777777" w:rsidR="001977AC" w:rsidRPr="00511657" w:rsidRDefault="001977AC" w:rsidP="001977AC">
            <w:pPr>
              <w:pStyle w:val="ListParagraph"/>
              <w:numPr>
                <w:ilvl w:val="0"/>
                <w:numId w:val="10"/>
              </w:numPr>
              <w:spacing w:before="120" w:after="120"/>
              <w:jc w:val="both"/>
              <w:rPr>
                <w:rFonts w:cstheme="minorHAnsi"/>
                <w:b/>
              </w:rPr>
            </w:pPr>
            <w:r w:rsidRPr="00511657">
              <w:rPr>
                <w:rFonts w:cstheme="minorHAnsi"/>
                <w:b/>
              </w:rPr>
              <w:t>Timing and milestones</w:t>
            </w:r>
          </w:p>
        </w:tc>
        <w:tc>
          <w:tcPr>
            <w:tcW w:w="8363" w:type="dxa"/>
          </w:tcPr>
          <w:p w14:paraId="158DFFC4" w14:textId="77777777" w:rsidR="001977AC" w:rsidRPr="00511657" w:rsidRDefault="001977AC" w:rsidP="001977AC">
            <w:pPr>
              <w:pStyle w:val="ListParagraph"/>
              <w:numPr>
                <w:ilvl w:val="0"/>
                <w:numId w:val="11"/>
              </w:numPr>
              <w:jc w:val="both"/>
              <w:rPr>
                <w:rFonts w:eastAsia="Calibri" w:cstheme="minorHAnsi"/>
              </w:rPr>
            </w:pPr>
            <w:r w:rsidRPr="00511657">
              <w:rPr>
                <w:rFonts w:eastAsia="Calibri" w:cstheme="minorHAnsi"/>
              </w:rPr>
              <w:t xml:space="preserve">Setting a roadmap for action </w:t>
            </w:r>
            <w:proofErr w:type="spellStart"/>
            <w:r w:rsidRPr="00511657">
              <w:rPr>
                <w:rFonts w:eastAsia="Calibri" w:cstheme="minorHAnsi"/>
              </w:rPr>
              <w:t>Q1</w:t>
            </w:r>
            <w:proofErr w:type="spellEnd"/>
            <w:r w:rsidRPr="00511657">
              <w:rPr>
                <w:rFonts w:eastAsia="Calibri" w:cstheme="minorHAnsi"/>
              </w:rPr>
              <w:t xml:space="preserve"> 2022</w:t>
            </w:r>
          </w:p>
          <w:p w14:paraId="0399C1D2" w14:textId="77777777" w:rsidR="001977AC" w:rsidRPr="00511657" w:rsidRDefault="001977AC" w:rsidP="001977AC">
            <w:pPr>
              <w:pStyle w:val="ListParagraph"/>
              <w:numPr>
                <w:ilvl w:val="0"/>
                <w:numId w:val="11"/>
              </w:numPr>
              <w:jc w:val="both"/>
              <w:rPr>
                <w:rFonts w:eastAsia="Calibri" w:cstheme="minorHAnsi"/>
              </w:rPr>
            </w:pPr>
            <w:r w:rsidRPr="00511657">
              <w:rPr>
                <w:rFonts w:eastAsia="Calibri" w:cstheme="minorHAnsi"/>
              </w:rPr>
              <w:t xml:space="preserve">Consultations with MS and SET Plan stakeholders, </w:t>
            </w:r>
            <w:proofErr w:type="spellStart"/>
            <w:r w:rsidRPr="00511657">
              <w:rPr>
                <w:rFonts w:eastAsia="Calibri" w:cstheme="minorHAnsi"/>
              </w:rPr>
              <w:t>Q1-Q2</w:t>
            </w:r>
            <w:proofErr w:type="spellEnd"/>
            <w:r w:rsidRPr="00511657">
              <w:rPr>
                <w:rFonts w:eastAsia="Calibri" w:cstheme="minorHAnsi"/>
              </w:rPr>
              <w:t xml:space="preserve"> 2022</w:t>
            </w:r>
          </w:p>
          <w:p w14:paraId="3CAD50EF" w14:textId="77777777" w:rsidR="001977AC" w:rsidRPr="008A227C" w:rsidRDefault="001977AC" w:rsidP="001977AC">
            <w:pPr>
              <w:pStyle w:val="ListParagraph"/>
              <w:numPr>
                <w:ilvl w:val="0"/>
                <w:numId w:val="11"/>
              </w:numPr>
              <w:jc w:val="both"/>
              <w:rPr>
                <w:rFonts w:cstheme="minorHAnsi"/>
              </w:rPr>
            </w:pPr>
            <w:r w:rsidRPr="00511657">
              <w:rPr>
                <w:rFonts w:eastAsia="Calibri" w:cstheme="minorHAnsi"/>
              </w:rPr>
              <w:t xml:space="preserve">Launch Call for Evidence, </w:t>
            </w:r>
            <w:proofErr w:type="spellStart"/>
            <w:r w:rsidRPr="00511657">
              <w:rPr>
                <w:rFonts w:eastAsia="Calibri" w:cstheme="minorHAnsi"/>
              </w:rPr>
              <w:t>Q2</w:t>
            </w:r>
            <w:proofErr w:type="spellEnd"/>
            <w:r w:rsidRPr="00511657">
              <w:rPr>
                <w:rFonts w:eastAsia="Calibri" w:cstheme="minorHAnsi"/>
              </w:rPr>
              <w:t xml:space="preserve"> 2022</w:t>
            </w:r>
          </w:p>
          <w:p w14:paraId="6006AAC7" w14:textId="77777777" w:rsidR="001977AC" w:rsidRPr="00511657" w:rsidRDefault="001977AC" w:rsidP="001977AC">
            <w:pPr>
              <w:pStyle w:val="ListParagraph"/>
              <w:numPr>
                <w:ilvl w:val="0"/>
                <w:numId w:val="11"/>
              </w:numPr>
              <w:jc w:val="both"/>
              <w:rPr>
                <w:rFonts w:eastAsia="Calibri" w:cstheme="minorHAnsi"/>
              </w:rPr>
            </w:pPr>
            <w:r w:rsidRPr="00511657">
              <w:rPr>
                <w:rFonts w:eastAsia="Calibri" w:cstheme="minorHAnsi"/>
              </w:rPr>
              <w:t xml:space="preserve">Results from the Interim evaluation of the SET Plan initiative, </w:t>
            </w:r>
            <w:proofErr w:type="spellStart"/>
            <w:r w:rsidRPr="00511657">
              <w:rPr>
                <w:rFonts w:eastAsia="Calibri" w:cstheme="minorHAnsi"/>
              </w:rPr>
              <w:t>Q</w:t>
            </w:r>
            <w:r>
              <w:rPr>
                <w:rFonts w:eastAsia="Calibri" w:cstheme="minorHAnsi"/>
              </w:rPr>
              <w:t>3</w:t>
            </w:r>
            <w:proofErr w:type="spellEnd"/>
            <w:r w:rsidRPr="00511657">
              <w:rPr>
                <w:rFonts w:eastAsia="Calibri" w:cstheme="minorHAnsi"/>
              </w:rPr>
              <w:t xml:space="preserve"> 2022</w:t>
            </w:r>
          </w:p>
          <w:p w14:paraId="7AD278D8" w14:textId="77777777" w:rsidR="001977AC" w:rsidRPr="00511657" w:rsidRDefault="001977AC" w:rsidP="001977AC">
            <w:pPr>
              <w:pStyle w:val="ListParagraph"/>
              <w:numPr>
                <w:ilvl w:val="0"/>
                <w:numId w:val="11"/>
              </w:numPr>
              <w:jc w:val="both"/>
              <w:rPr>
                <w:rFonts w:eastAsia="Calibri" w:cstheme="minorHAnsi"/>
                <w:i/>
              </w:rPr>
            </w:pPr>
            <w:r w:rsidRPr="00511657">
              <w:rPr>
                <w:rFonts w:eastAsia="Calibri" w:cstheme="minorHAnsi"/>
              </w:rPr>
              <w:t xml:space="preserve">Results from the Call for Evidence </w:t>
            </w:r>
            <w:proofErr w:type="spellStart"/>
            <w:r w:rsidRPr="00511657">
              <w:rPr>
                <w:rFonts w:eastAsia="Calibri" w:cstheme="minorHAnsi"/>
              </w:rPr>
              <w:t>Q3</w:t>
            </w:r>
            <w:proofErr w:type="spellEnd"/>
            <w:r w:rsidRPr="00511657">
              <w:rPr>
                <w:rFonts w:eastAsia="Calibri" w:cstheme="minorHAnsi"/>
              </w:rPr>
              <w:t xml:space="preserve"> 2022 </w:t>
            </w:r>
          </w:p>
          <w:p w14:paraId="7772ED87" w14:textId="77777777" w:rsidR="001977AC" w:rsidRPr="00511657" w:rsidRDefault="001977AC" w:rsidP="001977AC">
            <w:pPr>
              <w:pStyle w:val="ListParagraph"/>
              <w:numPr>
                <w:ilvl w:val="0"/>
                <w:numId w:val="11"/>
              </w:numPr>
              <w:jc w:val="both"/>
              <w:rPr>
                <w:rFonts w:eastAsia="Calibri" w:cstheme="minorHAnsi"/>
              </w:rPr>
            </w:pPr>
            <w:r w:rsidRPr="00511657">
              <w:rPr>
                <w:rFonts w:eastAsia="Calibri" w:cstheme="minorHAnsi"/>
              </w:rPr>
              <w:t>Presentation of the revision at the SET Plan Presidency Conference November 2022</w:t>
            </w:r>
          </w:p>
          <w:p w14:paraId="0F0F4603" w14:textId="77777777" w:rsidR="001977AC" w:rsidRPr="008A227C" w:rsidRDefault="001977AC" w:rsidP="001977AC">
            <w:pPr>
              <w:pStyle w:val="ListParagraph"/>
              <w:numPr>
                <w:ilvl w:val="0"/>
                <w:numId w:val="11"/>
              </w:numPr>
              <w:jc w:val="both"/>
              <w:rPr>
                <w:rFonts w:cstheme="minorHAnsi"/>
              </w:rPr>
            </w:pPr>
            <w:r w:rsidRPr="00511657">
              <w:rPr>
                <w:rFonts w:eastAsia="Calibri" w:cstheme="minorHAnsi"/>
              </w:rPr>
              <w:t>Communication from the Commission</w:t>
            </w:r>
            <w:r>
              <w:rPr>
                <w:rFonts w:eastAsia="Calibri" w:cstheme="minorHAnsi"/>
              </w:rPr>
              <w:t xml:space="preserve">, </w:t>
            </w:r>
            <w:proofErr w:type="spellStart"/>
            <w:r>
              <w:rPr>
                <w:rFonts w:eastAsia="Calibri" w:cstheme="minorHAnsi"/>
              </w:rPr>
              <w:t>Q4</w:t>
            </w:r>
            <w:proofErr w:type="spellEnd"/>
            <w:r w:rsidRPr="00511657">
              <w:rPr>
                <w:rFonts w:eastAsia="Calibri" w:cstheme="minorHAnsi"/>
              </w:rPr>
              <w:t xml:space="preserve"> 2022</w:t>
            </w:r>
          </w:p>
          <w:p w14:paraId="57FD9F34" w14:textId="77777777" w:rsidR="001977AC" w:rsidRPr="00511657" w:rsidRDefault="001977AC" w:rsidP="001977AC">
            <w:pPr>
              <w:pStyle w:val="ListParagraph"/>
              <w:numPr>
                <w:ilvl w:val="0"/>
                <w:numId w:val="11"/>
              </w:numPr>
              <w:jc w:val="both"/>
              <w:rPr>
                <w:rFonts w:eastAsia="Calibri" w:cstheme="minorHAnsi"/>
              </w:rPr>
            </w:pPr>
            <w:r w:rsidRPr="00511657">
              <w:rPr>
                <w:rFonts w:eastAsia="Calibri" w:cstheme="minorHAnsi"/>
              </w:rPr>
              <w:t xml:space="preserve">Organisation of </w:t>
            </w:r>
            <w:proofErr w:type="spellStart"/>
            <w:r w:rsidRPr="00511657">
              <w:rPr>
                <w:rFonts w:eastAsia="Calibri" w:cstheme="minorHAnsi"/>
              </w:rPr>
              <w:t>R&amp;I</w:t>
            </w:r>
            <w:proofErr w:type="spellEnd"/>
            <w:r w:rsidRPr="00511657">
              <w:rPr>
                <w:rFonts w:eastAsia="Calibri" w:cstheme="minorHAnsi"/>
              </w:rPr>
              <w:t xml:space="preserve"> energy thematic working groups with MS 2022-2023</w:t>
            </w:r>
          </w:p>
          <w:p w14:paraId="37D17DFC" w14:textId="77777777" w:rsidR="001977AC" w:rsidRPr="00511657" w:rsidRDefault="001977AC" w:rsidP="001977AC">
            <w:pPr>
              <w:pStyle w:val="ListParagraph"/>
              <w:numPr>
                <w:ilvl w:val="0"/>
                <w:numId w:val="11"/>
              </w:numPr>
              <w:jc w:val="both"/>
              <w:rPr>
                <w:rFonts w:eastAsia="Calibri" w:cstheme="minorHAnsi"/>
              </w:rPr>
            </w:pPr>
            <w:r w:rsidRPr="00511657">
              <w:rPr>
                <w:rFonts w:eastAsia="Calibri" w:cstheme="minorHAnsi"/>
              </w:rPr>
              <w:t xml:space="preserve">Update of </w:t>
            </w:r>
            <w:proofErr w:type="spellStart"/>
            <w:r w:rsidRPr="00511657">
              <w:rPr>
                <w:rFonts w:eastAsia="Calibri" w:cstheme="minorHAnsi"/>
              </w:rPr>
              <w:t>R&amp;I</w:t>
            </w:r>
            <w:proofErr w:type="spellEnd"/>
            <w:r w:rsidRPr="00511657">
              <w:rPr>
                <w:rFonts w:eastAsia="Calibri" w:cstheme="minorHAnsi"/>
              </w:rPr>
              <w:t xml:space="preserve"> energy roadmaps across EU MS 2023-2024</w:t>
            </w:r>
          </w:p>
          <w:p w14:paraId="7ADAFC31" w14:textId="77777777" w:rsidR="001977AC" w:rsidRPr="00511657" w:rsidRDefault="001977AC" w:rsidP="001977AC">
            <w:pPr>
              <w:pStyle w:val="ListParagraph"/>
              <w:numPr>
                <w:ilvl w:val="0"/>
                <w:numId w:val="11"/>
              </w:numPr>
              <w:jc w:val="both"/>
              <w:rPr>
                <w:rFonts w:eastAsia="Calibri" w:cstheme="minorHAnsi"/>
              </w:rPr>
            </w:pPr>
            <w:r w:rsidRPr="00511657">
              <w:rPr>
                <w:rFonts w:eastAsia="Calibri" w:cstheme="minorHAnsi"/>
              </w:rPr>
              <w:t xml:space="preserve">ERA </w:t>
            </w:r>
            <w:proofErr w:type="spellStart"/>
            <w:r w:rsidRPr="00511657">
              <w:rPr>
                <w:rFonts w:eastAsia="Calibri" w:cstheme="minorHAnsi"/>
              </w:rPr>
              <w:t>R&amp;I</w:t>
            </w:r>
            <w:proofErr w:type="spellEnd"/>
            <w:r w:rsidRPr="00511657">
              <w:rPr>
                <w:rFonts w:eastAsia="Calibri" w:cstheme="minorHAnsi"/>
              </w:rPr>
              <w:t xml:space="preserve"> energy updates at the </w:t>
            </w:r>
            <w:proofErr w:type="spellStart"/>
            <w:r w:rsidRPr="00511657">
              <w:rPr>
                <w:rFonts w:eastAsia="Calibri" w:cstheme="minorHAnsi"/>
              </w:rPr>
              <w:t>R&amp;I</w:t>
            </w:r>
            <w:proofErr w:type="spellEnd"/>
            <w:r w:rsidRPr="00511657">
              <w:rPr>
                <w:rFonts w:eastAsia="Calibri" w:cstheme="minorHAnsi"/>
              </w:rPr>
              <w:t xml:space="preserve"> days 2022 </w:t>
            </w:r>
          </w:p>
          <w:p w14:paraId="3E09E73A" w14:textId="77777777" w:rsidR="001977AC" w:rsidRPr="00511657" w:rsidRDefault="001977AC" w:rsidP="007037E4">
            <w:pPr>
              <w:pStyle w:val="ListParagraph"/>
              <w:jc w:val="both"/>
              <w:rPr>
                <w:rFonts w:eastAsia="Calibri" w:cstheme="minorHAnsi"/>
              </w:rPr>
            </w:pPr>
          </w:p>
        </w:tc>
      </w:tr>
      <w:tr w:rsidR="001977AC" w:rsidRPr="00511657" w14:paraId="0011BD27" w14:textId="77777777" w:rsidTr="007037E4">
        <w:trPr>
          <w:gridAfter w:val="1"/>
          <w:wAfter w:w="15" w:type="dxa"/>
        </w:trPr>
        <w:tc>
          <w:tcPr>
            <w:tcW w:w="2411" w:type="dxa"/>
          </w:tcPr>
          <w:p w14:paraId="0085D7B4" w14:textId="77777777" w:rsidR="001977AC" w:rsidRPr="00511657" w:rsidRDefault="001977AC" w:rsidP="001977AC">
            <w:pPr>
              <w:pStyle w:val="ListParagraph"/>
              <w:numPr>
                <w:ilvl w:val="0"/>
                <w:numId w:val="10"/>
              </w:numPr>
              <w:spacing w:before="120" w:after="120"/>
              <w:jc w:val="both"/>
              <w:rPr>
                <w:rFonts w:cstheme="minorHAnsi"/>
                <w:b/>
              </w:rPr>
            </w:pPr>
            <w:r w:rsidRPr="00511657">
              <w:rPr>
                <w:rFonts w:cstheme="minorHAnsi"/>
                <w:b/>
              </w:rPr>
              <w:t>Funding</w:t>
            </w:r>
          </w:p>
        </w:tc>
        <w:tc>
          <w:tcPr>
            <w:tcW w:w="8363" w:type="dxa"/>
          </w:tcPr>
          <w:p w14:paraId="29B0C41F" w14:textId="77777777" w:rsidR="001977AC" w:rsidRPr="00511657" w:rsidRDefault="001977AC" w:rsidP="007037E4">
            <w:pPr>
              <w:spacing w:before="120" w:after="120"/>
              <w:jc w:val="both"/>
              <w:rPr>
                <w:rFonts w:cstheme="minorHAnsi"/>
              </w:rPr>
            </w:pPr>
            <w:r w:rsidRPr="00511657">
              <w:rPr>
                <w:rFonts w:cstheme="minorHAnsi"/>
              </w:rPr>
              <w:t>Horizon Europe, including from the Clean Energy Transition Partnership</w:t>
            </w:r>
            <w:r>
              <w:rPr>
                <w:rFonts w:cstheme="minorHAnsi"/>
              </w:rPr>
              <w:t xml:space="preserve"> and the Driving urban transition partnership</w:t>
            </w:r>
          </w:p>
          <w:p w14:paraId="7D60A7C9" w14:textId="77777777" w:rsidR="001977AC" w:rsidRPr="00511657" w:rsidRDefault="001977AC" w:rsidP="007037E4">
            <w:pPr>
              <w:spacing w:before="120" w:after="120"/>
              <w:jc w:val="both"/>
              <w:rPr>
                <w:rFonts w:cstheme="minorHAnsi"/>
              </w:rPr>
            </w:pPr>
            <w:r w:rsidRPr="00511657">
              <w:rPr>
                <w:rFonts w:cstheme="minorHAnsi"/>
              </w:rPr>
              <w:t>National funding</w:t>
            </w:r>
          </w:p>
        </w:tc>
      </w:tr>
      <w:tr w:rsidR="001977AC" w:rsidRPr="00511657" w14:paraId="52101480" w14:textId="77777777" w:rsidTr="007037E4">
        <w:trPr>
          <w:gridAfter w:val="1"/>
          <w:wAfter w:w="15" w:type="dxa"/>
        </w:trPr>
        <w:tc>
          <w:tcPr>
            <w:tcW w:w="2411" w:type="dxa"/>
          </w:tcPr>
          <w:p w14:paraId="4392250F" w14:textId="77777777" w:rsidR="001977AC" w:rsidRPr="00511657" w:rsidRDefault="001977AC" w:rsidP="001977AC">
            <w:pPr>
              <w:pStyle w:val="ListParagraph"/>
              <w:numPr>
                <w:ilvl w:val="0"/>
                <w:numId w:val="10"/>
              </w:numPr>
              <w:spacing w:before="120" w:after="120"/>
              <w:jc w:val="both"/>
              <w:rPr>
                <w:rFonts w:cstheme="minorHAnsi"/>
                <w:b/>
              </w:rPr>
            </w:pPr>
            <w:r w:rsidRPr="00511657">
              <w:rPr>
                <w:rFonts w:cstheme="minorHAnsi"/>
                <w:b/>
              </w:rPr>
              <w:t>Expected impact</w:t>
            </w:r>
          </w:p>
        </w:tc>
        <w:tc>
          <w:tcPr>
            <w:tcW w:w="8363" w:type="dxa"/>
          </w:tcPr>
          <w:p w14:paraId="58A48A83" w14:textId="77777777" w:rsidR="001977AC" w:rsidRPr="008A227C" w:rsidRDefault="001977AC" w:rsidP="007037E4">
            <w:pPr>
              <w:spacing w:after="120"/>
              <w:jc w:val="both"/>
              <w:rPr>
                <w:rFonts w:cstheme="minorHAnsi"/>
                <w:b/>
              </w:rPr>
            </w:pPr>
            <w:r w:rsidRPr="008A227C">
              <w:rPr>
                <w:rFonts w:cstheme="minorHAnsi"/>
                <w:b/>
              </w:rPr>
              <w:t>Impact on policies:</w:t>
            </w:r>
          </w:p>
          <w:p w14:paraId="3B62B7CE" w14:textId="77777777" w:rsidR="001977AC" w:rsidRPr="00581FC8" w:rsidRDefault="001977AC" w:rsidP="001977AC">
            <w:pPr>
              <w:pStyle w:val="ListParagraph"/>
              <w:numPr>
                <w:ilvl w:val="0"/>
                <w:numId w:val="15"/>
              </w:numPr>
              <w:spacing w:after="120"/>
              <w:jc w:val="both"/>
              <w:rPr>
                <w:rFonts w:cstheme="minorHAnsi"/>
              </w:rPr>
            </w:pPr>
            <w:r w:rsidRPr="008A227C">
              <w:rPr>
                <w:rFonts w:cstheme="minorHAnsi"/>
              </w:rPr>
              <w:t xml:space="preserve">Revamping the SET Plan to adjust to the Green Deal and </w:t>
            </w:r>
            <w:proofErr w:type="spellStart"/>
            <w:r w:rsidRPr="008A227C">
              <w:rPr>
                <w:rFonts w:cstheme="minorHAnsi"/>
              </w:rPr>
              <w:t>RePowerEU</w:t>
            </w:r>
            <w:proofErr w:type="spellEnd"/>
            <w:r w:rsidRPr="008A227C">
              <w:rPr>
                <w:rFonts w:cstheme="minorHAnsi"/>
              </w:rPr>
              <w:t xml:space="preserve"> will support reaching their objectives and accelerating them, also through the enhanced synerg</w:t>
            </w:r>
            <w:r w:rsidRPr="00581FC8">
              <w:rPr>
                <w:rFonts w:cstheme="minorHAnsi"/>
              </w:rPr>
              <w:t>y between the various institutional levels and programmes;</w:t>
            </w:r>
          </w:p>
          <w:p w14:paraId="5532291C" w14:textId="77777777" w:rsidR="001977AC" w:rsidRPr="00581FC8" w:rsidRDefault="001977AC" w:rsidP="001977AC">
            <w:pPr>
              <w:pStyle w:val="ListParagraph"/>
              <w:numPr>
                <w:ilvl w:val="0"/>
                <w:numId w:val="15"/>
              </w:numPr>
              <w:spacing w:after="120"/>
              <w:jc w:val="both"/>
              <w:rPr>
                <w:rFonts w:cstheme="minorHAnsi"/>
              </w:rPr>
            </w:pPr>
            <w:r w:rsidRPr="00581FC8">
              <w:rPr>
                <w:rFonts w:cstheme="minorHAnsi"/>
              </w:rPr>
              <w:lastRenderedPageBreak/>
              <w:t>Placing this revamping within the ERA frame allows benefitting from the existing EU wide structure and dialogue, enriching such synergies, as well as providing useful tools for flanking policies like developing education and skills on clean energy for the needs of the industry, providing scientific evidence for adjusting regulatory frame and policy makers.</w:t>
            </w:r>
          </w:p>
          <w:p w14:paraId="005FF7C2" w14:textId="77777777" w:rsidR="001977AC" w:rsidRPr="00581FC8" w:rsidRDefault="001977AC" w:rsidP="001977AC">
            <w:pPr>
              <w:pStyle w:val="ListParagraph"/>
              <w:numPr>
                <w:ilvl w:val="0"/>
                <w:numId w:val="15"/>
              </w:numPr>
              <w:spacing w:after="120"/>
              <w:jc w:val="both"/>
              <w:rPr>
                <w:rFonts w:cstheme="minorHAnsi"/>
              </w:rPr>
            </w:pPr>
            <w:r w:rsidRPr="00581FC8">
              <w:rPr>
                <w:rFonts w:cstheme="minorHAnsi"/>
              </w:rPr>
              <w:t>A global approach like the proposed one may better integrate the overall challenge on circularity and best use of planet resources; similarly, it will support caring about fairness of energy transition through a cross EU work, including all levels of decision and investment;</w:t>
            </w:r>
          </w:p>
          <w:p w14:paraId="7CB0861E" w14:textId="77777777" w:rsidR="001977AC" w:rsidRPr="00581FC8" w:rsidRDefault="001977AC" w:rsidP="007037E4">
            <w:pPr>
              <w:spacing w:after="120"/>
              <w:jc w:val="both"/>
              <w:rPr>
                <w:rFonts w:cstheme="minorHAnsi"/>
                <w:b/>
              </w:rPr>
            </w:pPr>
            <w:r w:rsidRPr="00581FC8">
              <w:rPr>
                <w:rFonts w:cstheme="minorHAnsi"/>
                <w:b/>
              </w:rPr>
              <w:t>Impact on people:</w:t>
            </w:r>
          </w:p>
          <w:p w14:paraId="1B163965" w14:textId="77777777" w:rsidR="001977AC" w:rsidRPr="00581FC8" w:rsidRDefault="001977AC" w:rsidP="001977AC">
            <w:pPr>
              <w:pStyle w:val="ListParagraph"/>
              <w:numPr>
                <w:ilvl w:val="0"/>
                <w:numId w:val="18"/>
              </w:numPr>
              <w:spacing w:after="120"/>
              <w:jc w:val="both"/>
              <w:rPr>
                <w:rFonts w:cstheme="minorHAnsi"/>
              </w:rPr>
            </w:pPr>
            <w:r w:rsidRPr="00581FC8">
              <w:rPr>
                <w:rFonts w:cstheme="minorHAnsi"/>
              </w:rPr>
              <w:t xml:space="preserve">The SET Plan is demand driven, a country should </w:t>
            </w:r>
            <w:proofErr w:type="spellStart"/>
            <w:r w:rsidRPr="00581FC8">
              <w:rPr>
                <w:rFonts w:cstheme="minorHAnsi"/>
              </w:rPr>
              <w:t>aks</w:t>
            </w:r>
            <w:proofErr w:type="spellEnd"/>
            <w:r w:rsidRPr="00581FC8">
              <w:rPr>
                <w:rFonts w:cstheme="minorHAnsi"/>
              </w:rPr>
              <w:t xml:space="preserve"> to </w:t>
            </w:r>
            <w:proofErr w:type="spellStart"/>
            <w:r w:rsidRPr="00581FC8">
              <w:rPr>
                <w:rFonts w:cstheme="minorHAnsi"/>
              </w:rPr>
              <w:t>poarticipate</w:t>
            </w:r>
            <w:proofErr w:type="spellEnd"/>
            <w:r w:rsidRPr="00581FC8">
              <w:rPr>
                <w:rFonts w:cstheme="minorHAnsi"/>
              </w:rPr>
              <w:t xml:space="preserve">; Developing its visibility and its impact will attract more interest from some parts </w:t>
            </w:r>
            <w:proofErr w:type="spellStart"/>
            <w:r w:rsidRPr="00581FC8">
              <w:rPr>
                <w:rFonts w:cstheme="minorHAnsi"/>
              </w:rPr>
              <w:t>fo</w:t>
            </w:r>
            <w:proofErr w:type="spellEnd"/>
            <w:r w:rsidRPr="00581FC8">
              <w:rPr>
                <w:rFonts w:cstheme="minorHAnsi"/>
              </w:rPr>
              <w:t xml:space="preserve"> the EU which are still behind for clean energy transition;</w:t>
            </w:r>
          </w:p>
          <w:p w14:paraId="3EA4895F" w14:textId="77777777" w:rsidR="001977AC" w:rsidRPr="00581FC8" w:rsidRDefault="001977AC" w:rsidP="001977AC">
            <w:pPr>
              <w:pStyle w:val="ListParagraph"/>
              <w:numPr>
                <w:ilvl w:val="0"/>
                <w:numId w:val="18"/>
              </w:numPr>
              <w:spacing w:after="120"/>
              <w:jc w:val="both"/>
              <w:rPr>
                <w:rFonts w:cstheme="minorHAnsi"/>
              </w:rPr>
            </w:pPr>
            <w:r w:rsidRPr="00581FC8">
              <w:rPr>
                <w:rFonts w:cstheme="minorHAnsi"/>
              </w:rPr>
              <w:t>By pooling resources and knowledge, the SET Plan coordination will help all EU MS and all categories of population to have access to develop clean energy technologies;</w:t>
            </w:r>
          </w:p>
          <w:p w14:paraId="4936C566" w14:textId="77777777" w:rsidR="001977AC" w:rsidRPr="00581FC8" w:rsidRDefault="001977AC" w:rsidP="001977AC">
            <w:pPr>
              <w:pStyle w:val="ListParagraph"/>
              <w:numPr>
                <w:ilvl w:val="0"/>
                <w:numId w:val="18"/>
              </w:numPr>
              <w:spacing w:after="120"/>
              <w:jc w:val="both"/>
              <w:rPr>
                <w:rFonts w:cstheme="minorHAnsi"/>
              </w:rPr>
            </w:pPr>
            <w:r w:rsidRPr="00581FC8">
              <w:rPr>
                <w:rFonts w:cstheme="minorHAnsi"/>
              </w:rPr>
              <w:t xml:space="preserve">The revamped SET Plan aims at embedding the constraints of affordable clean energy for all, not letting anyone behind. This will be integrated in any of the joint actions, supporting the overall value of fairness and affordability of the transition; </w:t>
            </w:r>
          </w:p>
          <w:p w14:paraId="553FA342" w14:textId="77777777" w:rsidR="001977AC" w:rsidRPr="00581FC8" w:rsidRDefault="001977AC" w:rsidP="007037E4">
            <w:pPr>
              <w:spacing w:after="120"/>
              <w:jc w:val="both"/>
              <w:rPr>
                <w:rFonts w:cstheme="minorHAnsi"/>
                <w:b/>
              </w:rPr>
            </w:pPr>
            <w:r w:rsidRPr="00581FC8">
              <w:rPr>
                <w:rFonts w:cstheme="minorHAnsi"/>
                <w:b/>
              </w:rPr>
              <w:t xml:space="preserve">Impact on </w:t>
            </w:r>
            <w:proofErr w:type="spellStart"/>
            <w:r w:rsidRPr="00581FC8">
              <w:rPr>
                <w:rFonts w:cstheme="minorHAnsi"/>
                <w:b/>
              </w:rPr>
              <w:t>R&amp;I</w:t>
            </w:r>
            <w:proofErr w:type="spellEnd"/>
            <w:r w:rsidRPr="00581FC8">
              <w:rPr>
                <w:rFonts w:cstheme="minorHAnsi"/>
                <w:b/>
              </w:rPr>
              <w:t xml:space="preserve"> and academia</w:t>
            </w:r>
          </w:p>
          <w:p w14:paraId="05670694" w14:textId="77777777" w:rsidR="001977AC" w:rsidRPr="00581FC8" w:rsidRDefault="001977AC" w:rsidP="001977AC">
            <w:pPr>
              <w:pStyle w:val="ListParagraph"/>
              <w:numPr>
                <w:ilvl w:val="0"/>
                <w:numId w:val="17"/>
              </w:numPr>
              <w:spacing w:after="120"/>
              <w:jc w:val="both"/>
              <w:rPr>
                <w:rFonts w:cstheme="minorHAnsi"/>
              </w:rPr>
            </w:pPr>
            <w:r w:rsidRPr="00581FC8">
              <w:rPr>
                <w:rFonts w:cstheme="minorHAnsi"/>
              </w:rPr>
              <w:t>The ERA approach will boost the development of joint work between researchers, innovators and industries. It will also increase the link with academia;</w:t>
            </w:r>
          </w:p>
          <w:p w14:paraId="5C7408F2" w14:textId="77777777" w:rsidR="001977AC" w:rsidRPr="00581FC8" w:rsidRDefault="001977AC" w:rsidP="001977AC">
            <w:pPr>
              <w:pStyle w:val="ListParagraph"/>
              <w:numPr>
                <w:ilvl w:val="0"/>
                <w:numId w:val="17"/>
              </w:numPr>
              <w:spacing w:after="120"/>
              <w:jc w:val="both"/>
              <w:rPr>
                <w:rFonts w:cstheme="minorHAnsi"/>
              </w:rPr>
            </w:pPr>
            <w:r w:rsidRPr="00581FC8">
              <w:rPr>
                <w:rFonts w:cstheme="minorHAnsi"/>
              </w:rPr>
              <w:t xml:space="preserve">The recent </w:t>
            </w:r>
            <w:proofErr w:type="spellStart"/>
            <w:r w:rsidRPr="00581FC8">
              <w:rPr>
                <w:rFonts w:cstheme="minorHAnsi"/>
              </w:rPr>
              <w:t>COVID</w:t>
            </w:r>
            <w:proofErr w:type="spellEnd"/>
            <w:r w:rsidRPr="00581FC8">
              <w:rPr>
                <w:rFonts w:cstheme="minorHAnsi"/>
              </w:rPr>
              <w:t xml:space="preserve"> crisis demonstrated that joint alliances between researchers across the EU could bring much more benefits than isolated national work. ERA will offer a platform for further increasing this synergy effect; </w:t>
            </w:r>
          </w:p>
          <w:p w14:paraId="6A881A0E" w14:textId="77777777" w:rsidR="001977AC" w:rsidRPr="00581FC8" w:rsidRDefault="001977AC" w:rsidP="007037E4">
            <w:pPr>
              <w:spacing w:after="120"/>
              <w:jc w:val="both"/>
              <w:rPr>
                <w:rFonts w:cstheme="minorHAnsi"/>
                <w:b/>
              </w:rPr>
            </w:pPr>
            <w:r w:rsidRPr="00581FC8">
              <w:rPr>
                <w:rFonts w:cstheme="minorHAnsi"/>
                <w:b/>
              </w:rPr>
              <w:t>Impact on EU industry</w:t>
            </w:r>
          </w:p>
          <w:p w14:paraId="025C8BBE" w14:textId="77777777" w:rsidR="001977AC" w:rsidRPr="00581FC8" w:rsidRDefault="001977AC" w:rsidP="001977AC">
            <w:pPr>
              <w:pStyle w:val="ListParagraph"/>
              <w:numPr>
                <w:ilvl w:val="0"/>
                <w:numId w:val="14"/>
              </w:numPr>
              <w:spacing w:after="120"/>
              <w:jc w:val="both"/>
              <w:rPr>
                <w:rFonts w:cstheme="minorHAnsi"/>
              </w:rPr>
            </w:pPr>
            <w:r w:rsidRPr="00581FC8">
              <w:rPr>
                <w:rFonts w:cstheme="minorHAnsi"/>
              </w:rPr>
              <w:t xml:space="preserve">The SET Plan involves currently the EU industry through the </w:t>
            </w:r>
            <w:proofErr w:type="spellStart"/>
            <w:r w:rsidRPr="00581FC8">
              <w:rPr>
                <w:rFonts w:cstheme="minorHAnsi"/>
              </w:rPr>
              <w:t>ETIPs</w:t>
            </w:r>
            <w:proofErr w:type="spellEnd"/>
            <w:r w:rsidRPr="00581FC8">
              <w:rPr>
                <w:rFonts w:cstheme="minorHAnsi"/>
              </w:rPr>
              <w:t>. Revamping this cooperation will accelerate the transfer of clean technologies within the industrial frame, and will provide the EU industry with a competitive advantage;</w:t>
            </w:r>
          </w:p>
          <w:p w14:paraId="3369A6C8" w14:textId="77777777" w:rsidR="001977AC" w:rsidRPr="00581FC8" w:rsidRDefault="001977AC" w:rsidP="001977AC">
            <w:pPr>
              <w:pStyle w:val="ListParagraph"/>
              <w:numPr>
                <w:ilvl w:val="0"/>
                <w:numId w:val="14"/>
              </w:numPr>
              <w:spacing w:after="120"/>
              <w:jc w:val="both"/>
              <w:rPr>
                <w:rFonts w:cstheme="minorHAnsi"/>
              </w:rPr>
            </w:pPr>
            <w:r w:rsidRPr="00581FC8">
              <w:rPr>
                <w:rFonts w:cstheme="minorHAnsi"/>
              </w:rPr>
              <w:t>As it is often dealing with high Technology Readiness Levels, the revamped SET Plan will offer more opportunities to integrate the industrial steps of the clean energy value chain, for instance by addressing manufacturing capabilities for clean energy technologies, thus also supporting EU industry competitiveness;</w:t>
            </w:r>
          </w:p>
          <w:p w14:paraId="77300752" w14:textId="77777777" w:rsidR="001977AC" w:rsidRPr="00581FC8" w:rsidRDefault="001977AC" w:rsidP="001977AC">
            <w:pPr>
              <w:pStyle w:val="ListParagraph"/>
              <w:numPr>
                <w:ilvl w:val="0"/>
                <w:numId w:val="14"/>
              </w:numPr>
              <w:spacing w:after="120"/>
              <w:jc w:val="both"/>
              <w:rPr>
                <w:rFonts w:cstheme="minorHAnsi"/>
              </w:rPr>
            </w:pPr>
            <w:r w:rsidRPr="00581FC8">
              <w:rPr>
                <w:rFonts w:cstheme="minorHAnsi"/>
              </w:rPr>
              <w:t>This could be enhanced through piling up and systematically linking the work of the SET Plan to a skills needed for the industry to benefit from such technology transition, connecting for instance with the Pact for Skills domain on renewable energy;</w:t>
            </w:r>
          </w:p>
          <w:p w14:paraId="0895BC45" w14:textId="77777777" w:rsidR="001977AC" w:rsidRPr="00581FC8" w:rsidRDefault="001977AC" w:rsidP="007037E4">
            <w:pPr>
              <w:spacing w:after="120"/>
              <w:jc w:val="both"/>
              <w:rPr>
                <w:rFonts w:cstheme="minorHAnsi"/>
                <w:b/>
              </w:rPr>
            </w:pPr>
            <w:r w:rsidRPr="00581FC8">
              <w:rPr>
                <w:rFonts w:cstheme="minorHAnsi"/>
                <w:b/>
              </w:rPr>
              <w:t xml:space="preserve">For institutional actors: </w:t>
            </w:r>
          </w:p>
          <w:p w14:paraId="736450B2" w14:textId="77777777" w:rsidR="001977AC" w:rsidRPr="00581FC8" w:rsidRDefault="001977AC" w:rsidP="001977AC">
            <w:pPr>
              <w:pStyle w:val="ListParagraph"/>
              <w:numPr>
                <w:ilvl w:val="0"/>
                <w:numId w:val="16"/>
              </w:numPr>
              <w:spacing w:after="120"/>
              <w:jc w:val="both"/>
              <w:rPr>
                <w:rFonts w:cstheme="minorHAnsi"/>
              </w:rPr>
            </w:pPr>
            <w:r w:rsidRPr="00581FC8">
              <w:rPr>
                <w:rFonts w:cstheme="minorHAnsi"/>
              </w:rPr>
              <w:t xml:space="preserve">Exchange of information through a revamped SET Plan, including best practices and lessons learned, will help quicker and better adjusting the regulatory and standardisation frame and policy makers to better adjust their proposal, especially grounding on scientific evidences. </w:t>
            </w:r>
          </w:p>
          <w:p w14:paraId="6A78AE41" w14:textId="77777777" w:rsidR="001977AC" w:rsidRPr="00581FC8" w:rsidRDefault="001977AC" w:rsidP="001977AC">
            <w:pPr>
              <w:pStyle w:val="ListParagraph"/>
              <w:numPr>
                <w:ilvl w:val="0"/>
                <w:numId w:val="16"/>
              </w:numPr>
              <w:spacing w:after="120"/>
              <w:jc w:val="both"/>
              <w:rPr>
                <w:rFonts w:cstheme="minorHAnsi"/>
              </w:rPr>
            </w:pPr>
            <w:r w:rsidRPr="00581FC8">
              <w:rPr>
                <w:rFonts w:cstheme="minorHAnsi"/>
              </w:rPr>
              <w:t xml:space="preserve">Cooperation and synergies with the EU level, including through the </w:t>
            </w:r>
            <w:proofErr w:type="spellStart"/>
            <w:r w:rsidRPr="00581FC8">
              <w:rPr>
                <w:rFonts w:cstheme="minorHAnsi"/>
              </w:rPr>
              <w:t>CETP</w:t>
            </w:r>
            <w:proofErr w:type="spellEnd"/>
            <w:r w:rsidRPr="00581FC8">
              <w:rPr>
                <w:rFonts w:cstheme="minorHAnsi"/>
              </w:rPr>
              <w:t xml:space="preserve">, allows to better match the subsidiarity principle, targeting for the EU funding what will better be supported by the EU than by the other levels, and developing a real ERA of clean energy transition. </w:t>
            </w:r>
          </w:p>
          <w:p w14:paraId="32C1DB8A" w14:textId="77777777" w:rsidR="001977AC" w:rsidRPr="00511657" w:rsidRDefault="001977AC" w:rsidP="001977AC">
            <w:pPr>
              <w:pStyle w:val="ListParagraph"/>
              <w:numPr>
                <w:ilvl w:val="0"/>
                <w:numId w:val="11"/>
              </w:numPr>
              <w:spacing w:before="120" w:after="120"/>
              <w:jc w:val="both"/>
              <w:rPr>
                <w:rFonts w:cstheme="minorHAnsi"/>
              </w:rPr>
            </w:pPr>
          </w:p>
        </w:tc>
      </w:tr>
      <w:tr w:rsidR="001977AC" w:rsidRPr="00511657" w14:paraId="25B9EBE2" w14:textId="77777777" w:rsidTr="007037E4">
        <w:trPr>
          <w:gridAfter w:val="1"/>
          <w:wAfter w:w="15" w:type="dxa"/>
        </w:trPr>
        <w:tc>
          <w:tcPr>
            <w:tcW w:w="2411" w:type="dxa"/>
          </w:tcPr>
          <w:p w14:paraId="4DEF4465" w14:textId="77777777" w:rsidR="001977AC" w:rsidRPr="00511657" w:rsidRDefault="001977AC" w:rsidP="001977AC">
            <w:pPr>
              <w:pStyle w:val="ListParagraph"/>
              <w:numPr>
                <w:ilvl w:val="0"/>
                <w:numId w:val="10"/>
              </w:numPr>
              <w:spacing w:before="120" w:after="120"/>
              <w:jc w:val="both"/>
              <w:rPr>
                <w:rFonts w:cstheme="minorHAnsi"/>
                <w:b/>
              </w:rPr>
            </w:pPr>
            <w:r w:rsidRPr="00511657">
              <w:rPr>
                <w:rFonts w:cstheme="minorHAnsi"/>
                <w:b/>
              </w:rPr>
              <w:lastRenderedPageBreak/>
              <w:t xml:space="preserve">Monitoring </w:t>
            </w:r>
          </w:p>
        </w:tc>
        <w:tc>
          <w:tcPr>
            <w:tcW w:w="8363" w:type="dxa"/>
          </w:tcPr>
          <w:p w14:paraId="6F1FC4FC" w14:textId="77777777" w:rsidR="001977AC" w:rsidRPr="00511657" w:rsidRDefault="001977AC" w:rsidP="007037E4">
            <w:pPr>
              <w:spacing w:before="120" w:after="120"/>
              <w:jc w:val="both"/>
              <w:rPr>
                <w:rFonts w:cstheme="minorHAnsi"/>
              </w:rPr>
            </w:pPr>
            <w:r w:rsidRPr="00511657">
              <w:rPr>
                <w:rFonts w:cstheme="minorHAnsi"/>
              </w:rPr>
              <w:t>The SET Plan is currently monitored at two levels:</w:t>
            </w:r>
          </w:p>
          <w:p w14:paraId="30D4DFC6" w14:textId="77777777" w:rsidR="001977AC" w:rsidRPr="00511657" w:rsidRDefault="001977AC" w:rsidP="007037E4">
            <w:pPr>
              <w:spacing w:before="120" w:after="120"/>
              <w:jc w:val="both"/>
              <w:rPr>
                <w:rFonts w:cstheme="minorHAnsi"/>
              </w:rPr>
            </w:pPr>
            <w:r w:rsidRPr="00511657">
              <w:rPr>
                <w:rFonts w:cstheme="minorHAnsi"/>
              </w:rPr>
              <w:t>• Per priority and working group</w:t>
            </w:r>
          </w:p>
          <w:p w14:paraId="71997BE1" w14:textId="77777777" w:rsidR="001977AC" w:rsidRPr="00511657" w:rsidRDefault="001977AC" w:rsidP="007037E4">
            <w:pPr>
              <w:spacing w:before="120" w:after="120"/>
              <w:jc w:val="both"/>
              <w:rPr>
                <w:rFonts w:cstheme="minorHAnsi"/>
              </w:rPr>
            </w:pPr>
            <w:r w:rsidRPr="00511657">
              <w:rPr>
                <w:rFonts w:cstheme="minorHAnsi"/>
              </w:rPr>
              <w:t>• Through a yearly monitoring report, based on a reporting tool (</w:t>
            </w:r>
            <w:proofErr w:type="spellStart"/>
            <w:r w:rsidRPr="00511657">
              <w:rPr>
                <w:rFonts w:cstheme="minorHAnsi"/>
              </w:rPr>
              <w:t>SETIS</w:t>
            </w:r>
            <w:proofErr w:type="spellEnd"/>
            <w:r w:rsidRPr="00511657">
              <w:rPr>
                <w:rFonts w:cstheme="minorHAnsi"/>
              </w:rPr>
              <w:t>)</w:t>
            </w:r>
          </w:p>
          <w:p w14:paraId="2832557C" w14:textId="77777777" w:rsidR="001977AC" w:rsidRPr="00511657" w:rsidRDefault="001977AC" w:rsidP="007037E4">
            <w:pPr>
              <w:spacing w:before="120" w:after="120"/>
              <w:jc w:val="both"/>
              <w:rPr>
                <w:rFonts w:cstheme="minorHAnsi"/>
              </w:rPr>
            </w:pPr>
            <w:r w:rsidRPr="00511657">
              <w:rPr>
                <w:rFonts w:cstheme="minorHAnsi"/>
              </w:rPr>
              <w:br/>
              <w:t xml:space="preserve">The </w:t>
            </w:r>
            <w:proofErr w:type="spellStart"/>
            <w:r w:rsidRPr="00511657">
              <w:rPr>
                <w:rFonts w:cstheme="minorHAnsi"/>
              </w:rPr>
              <w:t>SETIS</w:t>
            </w:r>
            <w:proofErr w:type="spellEnd"/>
            <w:r w:rsidRPr="00511657">
              <w:rPr>
                <w:rFonts w:cstheme="minorHAnsi"/>
              </w:rPr>
              <w:t xml:space="preserve"> website is the open-access information, knowledge management and dissemination system for the SET Plan, managed by the Joint Research Centre (JRC), European Commission.  </w:t>
            </w:r>
            <w:proofErr w:type="spellStart"/>
            <w:r w:rsidRPr="00511657">
              <w:rPr>
                <w:rFonts w:cstheme="minorHAnsi"/>
              </w:rPr>
              <w:t>SETIS</w:t>
            </w:r>
            <w:proofErr w:type="spellEnd"/>
            <w:r w:rsidRPr="00511657">
              <w:rPr>
                <w:rFonts w:cstheme="minorHAnsi"/>
              </w:rPr>
              <w:t xml:space="preserve"> helps implement the SET Plan and accounts for its progress and achievements through the monitoring progress report, released yearly during the SET Plan Conference. </w:t>
            </w:r>
          </w:p>
          <w:p w14:paraId="2E063B82" w14:textId="77777777" w:rsidR="001977AC" w:rsidRPr="00511657" w:rsidRDefault="001977AC" w:rsidP="007037E4">
            <w:pPr>
              <w:spacing w:before="120" w:after="120"/>
              <w:jc w:val="both"/>
              <w:rPr>
                <w:rFonts w:cstheme="minorHAnsi"/>
              </w:rPr>
            </w:pPr>
            <w:r w:rsidRPr="00511657">
              <w:rPr>
                <w:rFonts w:cstheme="minorHAnsi"/>
              </w:rPr>
              <w:t xml:space="preserve"> </w:t>
            </w:r>
            <w:r w:rsidRPr="00511657">
              <w:rPr>
                <w:rFonts w:cstheme="minorHAnsi"/>
              </w:rPr>
              <w:br/>
              <w:t>The revamping aims at reinforcing but simplifying this monitoring, with two pillars:</w:t>
            </w:r>
          </w:p>
          <w:p w14:paraId="4025AC50" w14:textId="77777777" w:rsidR="001977AC" w:rsidRPr="00511657" w:rsidRDefault="001977AC" w:rsidP="007037E4">
            <w:pPr>
              <w:spacing w:before="120" w:after="120"/>
              <w:jc w:val="both"/>
              <w:rPr>
                <w:rFonts w:cstheme="minorHAnsi"/>
              </w:rPr>
            </w:pPr>
            <w:r w:rsidRPr="00511657">
              <w:rPr>
                <w:rFonts w:cstheme="minorHAnsi"/>
              </w:rPr>
              <w:t>• Increasing its consistency with the reporting on the Energy Union, to reduce the workload on SET Plan members;</w:t>
            </w:r>
          </w:p>
          <w:p w14:paraId="00505AD9" w14:textId="77777777" w:rsidR="001977AC" w:rsidRPr="00511657" w:rsidRDefault="001977AC" w:rsidP="007037E4">
            <w:pPr>
              <w:spacing w:before="120" w:after="120"/>
              <w:jc w:val="both"/>
              <w:rPr>
                <w:rFonts w:cstheme="minorHAnsi"/>
              </w:rPr>
            </w:pPr>
            <w:r w:rsidRPr="00511657">
              <w:rPr>
                <w:rFonts w:cstheme="minorHAnsi"/>
              </w:rPr>
              <w:t xml:space="preserve">• Increase the visibility of the results of the SET Plan through presenting them regularly to the EU institutions and MS, for instance in the Energy and </w:t>
            </w:r>
            <w:proofErr w:type="spellStart"/>
            <w:r w:rsidRPr="00511657">
              <w:rPr>
                <w:rFonts w:cstheme="minorHAnsi"/>
              </w:rPr>
              <w:t>R&amp;I</w:t>
            </w:r>
            <w:proofErr w:type="spellEnd"/>
            <w:r w:rsidRPr="00511657">
              <w:rPr>
                <w:rFonts w:cstheme="minorHAnsi"/>
              </w:rPr>
              <w:t xml:space="preserve"> parts of the Council and to the Parliament. </w:t>
            </w:r>
          </w:p>
        </w:tc>
      </w:tr>
      <w:tr w:rsidR="001977AC" w:rsidRPr="00511657" w14:paraId="0CDD881C" w14:textId="77777777" w:rsidTr="007037E4">
        <w:trPr>
          <w:gridAfter w:val="1"/>
          <w:wAfter w:w="15" w:type="dxa"/>
        </w:trPr>
        <w:tc>
          <w:tcPr>
            <w:tcW w:w="2411" w:type="dxa"/>
          </w:tcPr>
          <w:p w14:paraId="689B07A8" w14:textId="77777777" w:rsidR="001977AC" w:rsidRPr="00511657" w:rsidRDefault="001977AC" w:rsidP="001977AC">
            <w:pPr>
              <w:pStyle w:val="ListParagraph"/>
              <w:numPr>
                <w:ilvl w:val="0"/>
                <w:numId w:val="10"/>
              </w:numPr>
              <w:spacing w:before="120" w:after="120"/>
              <w:jc w:val="both"/>
              <w:rPr>
                <w:rFonts w:cstheme="minorHAnsi"/>
                <w:b/>
              </w:rPr>
            </w:pPr>
            <w:r w:rsidRPr="00511657">
              <w:rPr>
                <w:rFonts w:cstheme="minorHAnsi"/>
                <w:b/>
              </w:rPr>
              <w:t>Communication</w:t>
            </w:r>
          </w:p>
        </w:tc>
        <w:tc>
          <w:tcPr>
            <w:tcW w:w="8363" w:type="dxa"/>
          </w:tcPr>
          <w:p w14:paraId="1E8195FE" w14:textId="77777777" w:rsidR="001977AC" w:rsidRPr="00871C88" w:rsidRDefault="001977AC" w:rsidP="001977AC">
            <w:pPr>
              <w:pStyle w:val="ListParagraph"/>
              <w:numPr>
                <w:ilvl w:val="0"/>
                <w:numId w:val="20"/>
              </w:numPr>
              <w:spacing w:before="120" w:after="120"/>
              <w:jc w:val="both"/>
              <w:rPr>
                <w:rFonts w:cstheme="minorHAnsi"/>
              </w:rPr>
            </w:pPr>
            <w:r w:rsidRPr="00871C88">
              <w:rPr>
                <w:rFonts w:cstheme="minorHAnsi"/>
              </w:rPr>
              <w:t xml:space="preserve">Communication from the Commission – </w:t>
            </w:r>
            <w:proofErr w:type="spellStart"/>
            <w:r w:rsidRPr="00871C88">
              <w:rPr>
                <w:rFonts w:cstheme="minorHAnsi"/>
              </w:rPr>
              <w:t>Q4</w:t>
            </w:r>
            <w:proofErr w:type="spellEnd"/>
            <w:r w:rsidRPr="00871C88">
              <w:rPr>
                <w:rFonts w:cstheme="minorHAnsi"/>
              </w:rPr>
              <w:t xml:space="preserve"> 2022</w:t>
            </w:r>
          </w:p>
          <w:p w14:paraId="6C640291" w14:textId="77777777" w:rsidR="001977AC" w:rsidRPr="00511657" w:rsidRDefault="001977AC" w:rsidP="001977AC">
            <w:pPr>
              <w:pStyle w:val="ListParagraph"/>
              <w:numPr>
                <w:ilvl w:val="0"/>
                <w:numId w:val="11"/>
              </w:numPr>
              <w:spacing w:before="120" w:after="120"/>
              <w:jc w:val="both"/>
              <w:rPr>
                <w:rFonts w:cstheme="minorHAnsi"/>
              </w:rPr>
            </w:pPr>
            <w:r w:rsidRPr="00511657">
              <w:rPr>
                <w:rFonts w:cstheme="minorHAnsi"/>
              </w:rPr>
              <w:t>Annual SET Plan Presidency Conference, Prague, CZ – November 2022</w:t>
            </w:r>
          </w:p>
          <w:p w14:paraId="53C377F3" w14:textId="77777777" w:rsidR="001977AC" w:rsidRPr="00511657" w:rsidRDefault="001977AC" w:rsidP="001977AC">
            <w:pPr>
              <w:pStyle w:val="ListParagraph"/>
              <w:numPr>
                <w:ilvl w:val="0"/>
                <w:numId w:val="11"/>
              </w:numPr>
              <w:spacing w:before="120" w:after="120"/>
              <w:jc w:val="both"/>
              <w:rPr>
                <w:rFonts w:cstheme="minorHAnsi"/>
              </w:rPr>
            </w:pPr>
            <w:r w:rsidRPr="00511657">
              <w:rPr>
                <w:rFonts w:eastAsia="Calibri" w:cstheme="minorHAnsi"/>
              </w:rPr>
              <w:t xml:space="preserve">ERA </w:t>
            </w:r>
            <w:proofErr w:type="spellStart"/>
            <w:r w:rsidRPr="00511657">
              <w:rPr>
                <w:rFonts w:eastAsia="Calibri" w:cstheme="minorHAnsi"/>
              </w:rPr>
              <w:t>R&amp;I</w:t>
            </w:r>
            <w:proofErr w:type="spellEnd"/>
            <w:r w:rsidRPr="00511657">
              <w:rPr>
                <w:rFonts w:eastAsia="Calibri" w:cstheme="minorHAnsi"/>
              </w:rPr>
              <w:t xml:space="preserve"> energy updates at Energy week – September 2022</w:t>
            </w:r>
          </w:p>
        </w:tc>
      </w:tr>
      <w:tr w:rsidR="001977AC" w:rsidRPr="00511657" w14:paraId="6418088D" w14:textId="77777777" w:rsidTr="007037E4">
        <w:trPr>
          <w:gridAfter w:val="1"/>
          <w:wAfter w:w="15" w:type="dxa"/>
        </w:trPr>
        <w:tc>
          <w:tcPr>
            <w:tcW w:w="2411" w:type="dxa"/>
          </w:tcPr>
          <w:p w14:paraId="29BB640E" w14:textId="77777777" w:rsidR="001977AC" w:rsidRPr="00511657" w:rsidRDefault="001977AC" w:rsidP="001977AC">
            <w:pPr>
              <w:pStyle w:val="ListParagraph"/>
              <w:numPr>
                <w:ilvl w:val="0"/>
                <w:numId w:val="10"/>
              </w:numPr>
              <w:spacing w:before="120" w:after="120"/>
              <w:jc w:val="both"/>
              <w:rPr>
                <w:rFonts w:cstheme="minorHAnsi"/>
                <w:b/>
              </w:rPr>
            </w:pPr>
            <w:r w:rsidRPr="00511657">
              <w:rPr>
                <w:rFonts w:cstheme="minorHAnsi"/>
                <w:b/>
              </w:rPr>
              <w:t>Additional information</w:t>
            </w:r>
          </w:p>
        </w:tc>
        <w:tc>
          <w:tcPr>
            <w:tcW w:w="8363" w:type="dxa"/>
          </w:tcPr>
          <w:p w14:paraId="14FA2450" w14:textId="77777777" w:rsidR="001977AC" w:rsidRDefault="001977AC" w:rsidP="007037E4">
            <w:pPr>
              <w:jc w:val="both"/>
              <w:rPr>
                <w:rFonts w:eastAsia="Calibri" w:cstheme="minorHAnsi"/>
              </w:rPr>
            </w:pPr>
            <w:r w:rsidRPr="00F57840">
              <w:rPr>
                <w:rFonts w:eastAsia="Calibri" w:cstheme="minorHAnsi"/>
              </w:rPr>
              <w:t xml:space="preserve">The revision of the SET Plan aims at better supporting the European Green Deal objectives, making the SET Plan compatible with the ‘fit for 55’ proposals, the 2050 decarbonisation goal and the </w:t>
            </w:r>
            <w:proofErr w:type="spellStart"/>
            <w:r w:rsidRPr="00F57840">
              <w:rPr>
                <w:rFonts w:eastAsia="Calibri" w:cstheme="minorHAnsi"/>
              </w:rPr>
              <w:t>REPowerEU</w:t>
            </w:r>
            <w:proofErr w:type="spellEnd"/>
            <w:r w:rsidRPr="00F57840">
              <w:rPr>
                <w:rFonts w:eastAsia="Calibri" w:cstheme="minorHAnsi"/>
              </w:rPr>
              <w:t xml:space="preserve"> initiative, while further developing an efficient and world leading European Research Area on clean energy.  </w:t>
            </w:r>
          </w:p>
          <w:p w14:paraId="5B4FBF84" w14:textId="77777777" w:rsidR="001977AC" w:rsidRPr="00F57840" w:rsidRDefault="001977AC" w:rsidP="007037E4">
            <w:pPr>
              <w:jc w:val="both"/>
              <w:rPr>
                <w:rFonts w:eastAsia="Calibri" w:cstheme="minorHAnsi"/>
              </w:rPr>
            </w:pPr>
          </w:p>
          <w:p w14:paraId="1D731C79" w14:textId="77777777" w:rsidR="001977AC" w:rsidRPr="00581FC8" w:rsidRDefault="001977AC" w:rsidP="007037E4">
            <w:pPr>
              <w:jc w:val="both"/>
              <w:rPr>
                <w:rFonts w:eastAsia="Calibri" w:cstheme="minorHAnsi"/>
              </w:rPr>
            </w:pPr>
            <w:r w:rsidRPr="00F57840">
              <w:rPr>
                <w:rFonts w:eastAsia="Calibri" w:cstheme="minorHAnsi"/>
              </w:rPr>
              <w:t xml:space="preserve">Such </w:t>
            </w:r>
            <w:r>
              <w:rPr>
                <w:rFonts w:eastAsia="Calibri" w:cstheme="minorHAnsi"/>
              </w:rPr>
              <w:t xml:space="preserve">an </w:t>
            </w:r>
            <w:r w:rsidRPr="00F57840">
              <w:rPr>
                <w:rFonts w:eastAsia="Calibri" w:cstheme="minorHAnsi"/>
              </w:rPr>
              <w:t>ERA will help accelerating dissemination of technologies as well as understanding of cross cutting challenges, therefore supporting delivering better technology solutions adjusted to the objective of a fair and sustainable transition towards clean energy, and supporting the leadership of the European industry and of the research and innovation system in the EU.</w:t>
            </w:r>
          </w:p>
        </w:tc>
      </w:tr>
    </w:tbl>
    <w:p w14:paraId="18B9DFB5" w14:textId="32C190F9" w:rsidR="001977AC" w:rsidRDefault="001977AC" w:rsidP="001977AC">
      <w:pPr>
        <w:jc w:val="center"/>
        <w:rPr>
          <w:u w:val="single"/>
        </w:rPr>
      </w:pPr>
    </w:p>
    <w:p w14:paraId="46E37041" w14:textId="0DD1A9F9" w:rsidR="001977AC" w:rsidRDefault="001977AC" w:rsidP="001977AC">
      <w:pPr>
        <w:jc w:val="center"/>
        <w:rPr>
          <w:u w:val="single"/>
        </w:rPr>
      </w:pPr>
    </w:p>
    <w:tbl>
      <w:tblPr>
        <w:tblStyle w:val="TableGrid"/>
        <w:tblW w:w="10774" w:type="dxa"/>
        <w:tblInd w:w="-714" w:type="dxa"/>
        <w:tblLook w:val="04A0" w:firstRow="1" w:lastRow="0" w:firstColumn="1" w:lastColumn="0" w:noHBand="0" w:noVBand="1"/>
      </w:tblPr>
      <w:tblGrid>
        <w:gridCol w:w="2410"/>
        <w:gridCol w:w="8364"/>
      </w:tblGrid>
      <w:tr w:rsidR="001977AC" w14:paraId="29D5E2D0" w14:textId="77777777" w:rsidTr="001977AC">
        <w:tc>
          <w:tcPr>
            <w:tcW w:w="10774" w:type="dxa"/>
            <w:gridSpan w:val="2"/>
          </w:tcPr>
          <w:p w14:paraId="4DE504CD" w14:textId="3C6E903A" w:rsidR="001977AC" w:rsidRPr="009968BD" w:rsidRDefault="001977AC" w:rsidP="007037E4">
            <w:pPr>
              <w:spacing w:before="120" w:after="120"/>
              <w:jc w:val="center"/>
              <w:rPr>
                <w:b/>
                <w:i/>
                <w:sz w:val="24"/>
                <w:szCs w:val="24"/>
              </w:rPr>
            </w:pPr>
            <w:r w:rsidRPr="009968BD">
              <w:rPr>
                <w:b/>
                <w:i/>
                <w:sz w:val="24"/>
                <w:szCs w:val="24"/>
              </w:rPr>
              <w:t>R</w:t>
            </w:r>
            <w:r>
              <w:rPr>
                <w:b/>
                <w:i/>
                <w:sz w:val="24"/>
                <w:szCs w:val="24"/>
              </w:rPr>
              <w:t xml:space="preserve">esearch </w:t>
            </w:r>
            <w:r w:rsidRPr="009968BD">
              <w:rPr>
                <w:b/>
                <w:i/>
                <w:sz w:val="24"/>
                <w:szCs w:val="24"/>
              </w:rPr>
              <w:t>&amp;</w:t>
            </w:r>
            <w:r>
              <w:rPr>
                <w:b/>
                <w:i/>
                <w:sz w:val="24"/>
                <w:szCs w:val="24"/>
              </w:rPr>
              <w:t xml:space="preserve"> </w:t>
            </w:r>
            <w:r w:rsidRPr="009968BD">
              <w:rPr>
                <w:b/>
                <w:i/>
                <w:sz w:val="24"/>
                <w:szCs w:val="24"/>
              </w:rPr>
              <w:t>I</w:t>
            </w:r>
            <w:r>
              <w:rPr>
                <w:b/>
                <w:i/>
                <w:sz w:val="24"/>
                <w:szCs w:val="24"/>
              </w:rPr>
              <w:t>nnovation</w:t>
            </w:r>
            <w:r w:rsidRPr="009968BD">
              <w:rPr>
                <w:b/>
                <w:i/>
                <w:sz w:val="24"/>
                <w:szCs w:val="24"/>
              </w:rPr>
              <w:t xml:space="preserve"> for the </w:t>
            </w:r>
            <w:r>
              <w:rPr>
                <w:b/>
                <w:i/>
                <w:sz w:val="24"/>
                <w:szCs w:val="24"/>
              </w:rPr>
              <w:t>F</w:t>
            </w:r>
            <w:r w:rsidRPr="009968BD">
              <w:rPr>
                <w:b/>
                <w:i/>
                <w:sz w:val="24"/>
                <w:szCs w:val="24"/>
              </w:rPr>
              <w:t xml:space="preserve">uture of </w:t>
            </w:r>
            <w:r>
              <w:rPr>
                <w:b/>
                <w:i/>
                <w:sz w:val="24"/>
                <w:szCs w:val="24"/>
              </w:rPr>
              <w:t>W</w:t>
            </w:r>
            <w:r w:rsidRPr="009968BD">
              <w:rPr>
                <w:b/>
                <w:i/>
                <w:sz w:val="24"/>
                <w:szCs w:val="24"/>
              </w:rPr>
              <w:t>ork (</w:t>
            </w:r>
            <w:proofErr w:type="spellStart"/>
            <w:r w:rsidRPr="009968BD">
              <w:rPr>
                <w:b/>
                <w:i/>
                <w:sz w:val="24"/>
                <w:szCs w:val="24"/>
              </w:rPr>
              <w:t>ERA4FutureWork</w:t>
            </w:r>
            <w:proofErr w:type="spellEnd"/>
            <w:r w:rsidRPr="009968BD">
              <w:rPr>
                <w:b/>
                <w:i/>
                <w:sz w:val="24"/>
                <w:szCs w:val="24"/>
              </w:rPr>
              <w:t>)</w:t>
            </w:r>
            <w:r>
              <w:rPr>
                <w:b/>
                <w:i/>
                <w:sz w:val="24"/>
                <w:szCs w:val="24"/>
              </w:rPr>
              <w:t xml:space="preserve"> </w:t>
            </w:r>
            <w:r w:rsidRPr="002F7031">
              <w:rPr>
                <w:rFonts w:cstheme="minorHAnsi"/>
                <w:b/>
              </w:rPr>
              <w:t xml:space="preserve">(Action 11- part </w:t>
            </w:r>
            <w:r>
              <w:rPr>
                <w:rFonts w:cstheme="minorHAnsi"/>
                <w:b/>
              </w:rPr>
              <w:t>3</w:t>
            </w:r>
            <w:r w:rsidRPr="002F7031">
              <w:rPr>
                <w:rFonts w:cstheme="minorHAnsi"/>
                <w:b/>
              </w:rPr>
              <w:t>)</w:t>
            </w:r>
          </w:p>
          <w:p w14:paraId="65F602CA" w14:textId="5712D237" w:rsidR="001977AC" w:rsidRPr="005A2F61" w:rsidRDefault="001977AC" w:rsidP="001977AC">
            <w:pPr>
              <w:spacing w:before="120" w:after="120"/>
              <w:jc w:val="center"/>
              <w:rPr>
                <w:i/>
              </w:rPr>
            </w:pPr>
            <w:r>
              <w:rPr>
                <w:i/>
              </w:rPr>
              <w:t>Part of ERA action 11:</w:t>
            </w:r>
            <w:r w:rsidRPr="009968BD">
              <w:rPr>
                <w:i/>
              </w:rPr>
              <w:t xml:space="preserve"> An ERA for </w:t>
            </w:r>
            <w:r>
              <w:rPr>
                <w:i/>
              </w:rPr>
              <w:t>G</w:t>
            </w:r>
            <w:r w:rsidRPr="009968BD">
              <w:rPr>
                <w:i/>
              </w:rPr>
              <w:t xml:space="preserve">reen </w:t>
            </w:r>
            <w:r>
              <w:rPr>
                <w:i/>
              </w:rPr>
              <w:t>T</w:t>
            </w:r>
            <w:r w:rsidRPr="009968BD">
              <w:rPr>
                <w:i/>
              </w:rPr>
              <w:t>ransformation</w:t>
            </w:r>
          </w:p>
        </w:tc>
      </w:tr>
      <w:tr w:rsidR="001977AC" w14:paraId="61D721A2" w14:textId="77777777" w:rsidTr="001977AC">
        <w:tc>
          <w:tcPr>
            <w:tcW w:w="10774" w:type="dxa"/>
            <w:gridSpan w:val="2"/>
          </w:tcPr>
          <w:p w14:paraId="0D6B20D4" w14:textId="77777777" w:rsidR="001977AC" w:rsidRDefault="001977AC" w:rsidP="007037E4">
            <w:pPr>
              <w:spacing w:before="120" w:after="120"/>
              <w:rPr>
                <w:i/>
              </w:rPr>
            </w:pPr>
            <w:r>
              <w:rPr>
                <w:i/>
              </w:rPr>
              <w:t>Contact point: Orestis KALLIANTZIDIS (</w:t>
            </w:r>
            <w:proofErr w:type="spellStart"/>
            <w:r>
              <w:rPr>
                <w:i/>
              </w:rPr>
              <w:t>RTD.E5</w:t>
            </w:r>
            <w:proofErr w:type="spellEnd"/>
            <w:r>
              <w:rPr>
                <w:i/>
              </w:rPr>
              <w:t>)</w:t>
            </w:r>
          </w:p>
        </w:tc>
      </w:tr>
      <w:tr w:rsidR="001977AC" w14:paraId="544A6370" w14:textId="77777777" w:rsidTr="001977AC">
        <w:tc>
          <w:tcPr>
            <w:tcW w:w="2410" w:type="dxa"/>
          </w:tcPr>
          <w:p w14:paraId="15321BAC" w14:textId="77777777" w:rsidR="001977AC" w:rsidRPr="005A2F61" w:rsidRDefault="001977AC" w:rsidP="001977AC">
            <w:pPr>
              <w:pStyle w:val="ListParagraph"/>
              <w:numPr>
                <w:ilvl w:val="0"/>
                <w:numId w:val="10"/>
              </w:numPr>
              <w:spacing w:before="120" w:after="120"/>
              <w:rPr>
                <w:b/>
              </w:rPr>
            </w:pPr>
            <w:r w:rsidRPr="005A2F61">
              <w:rPr>
                <w:b/>
              </w:rPr>
              <w:t>Description</w:t>
            </w:r>
          </w:p>
        </w:tc>
        <w:tc>
          <w:tcPr>
            <w:tcW w:w="8364" w:type="dxa"/>
          </w:tcPr>
          <w:p w14:paraId="3E5C4477" w14:textId="77777777" w:rsidR="001977AC" w:rsidRPr="0055454C" w:rsidRDefault="001977AC" w:rsidP="007037E4">
            <w:pPr>
              <w:jc w:val="both"/>
              <w:rPr>
                <w:rFonts w:ascii="Calibri" w:hAnsi="Calibri" w:cs="Calibri"/>
                <w:b/>
                <w:u w:val="single"/>
              </w:rPr>
            </w:pPr>
            <w:r w:rsidRPr="0055454C">
              <w:rPr>
                <w:rFonts w:ascii="Calibri" w:hAnsi="Calibri" w:cs="Calibri"/>
                <w:b/>
                <w:u w:val="single"/>
              </w:rPr>
              <w:t>Introduction</w:t>
            </w:r>
          </w:p>
          <w:p w14:paraId="74BB5ECC" w14:textId="77777777" w:rsidR="001977AC" w:rsidRDefault="001977AC" w:rsidP="007037E4">
            <w:pPr>
              <w:jc w:val="both"/>
              <w:rPr>
                <w:rFonts w:ascii="Calibri" w:hAnsi="Calibri" w:cs="Calibri"/>
              </w:rPr>
            </w:pPr>
            <w:r>
              <w:rPr>
                <w:rFonts w:ascii="Calibri" w:hAnsi="Calibri" w:cs="Calibri"/>
              </w:rPr>
              <w:t xml:space="preserve">Human capital is a </w:t>
            </w:r>
            <w:r w:rsidRPr="008632E9">
              <w:rPr>
                <w:rFonts w:ascii="Calibri" w:hAnsi="Calibri" w:cs="Calibri"/>
              </w:rPr>
              <w:t>key resource of the 21</w:t>
            </w:r>
            <w:r w:rsidRPr="008632E9">
              <w:rPr>
                <w:rFonts w:ascii="Calibri" w:hAnsi="Calibri" w:cs="Calibri"/>
                <w:vertAlign w:val="superscript"/>
              </w:rPr>
              <w:t>st</w:t>
            </w:r>
            <w:r w:rsidRPr="008632E9">
              <w:rPr>
                <w:rFonts w:ascii="Calibri" w:hAnsi="Calibri" w:cs="Calibri"/>
              </w:rPr>
              <w:t xml:space="preserve"> century. Economic, ecological</w:t>
            </w:r>
            <w:r>
              <w:rPr>
                <w:rFonts w:ascii="Calibri" w:hAnsi="Calibri" w:cs="Calibri"/>
              </w:rPr>
              <w:t>, digital, demographic,</w:t>
            </w:r>
            <w:r w:rsidRPr="008632E9">
              <w:rPr>
                <w:rFonts w:ascii="Calibri" w:hAnsi="Calibri" w:cs="Calibri"/>
              </w:rPr>
              <w:t xml:space="preserve"> and social </w:t>
            </w:r>
            <w:r>
              <w:rPr>
                <w:rFonts w:ascii="Calibri" w:hAnsi="Calibri" w:cs="Calibri"/>
              </w:rPr>
              <w:t>transformations</w:t>
            </w:r>
            <w:r w:rsidRPr="008632E9">
              <w:rPr>
                <w:rFonts w:ascii="Calibri" w:hAnsi="Calibri" w:cs="Calibri"/>
              </w:rPr>
              <w:t xml:space="preserve"> will drive not one but multiple futures of work</w:t>
            </w:r>
            <w:r>
              <w:rPr>
                <w:rFonts w:ascii="Calibri" w:hAnsi="Calibri" w:cs="Calibri"/>
              </w:rPr>
              <w:t>.</w:t>
            </w:r>
            <w:r w:rsidRPr="008632E9">
              <w:rPr>
                <w:rFonts w:ascii="Calibri" w:hAnsi="Calibri" w:cs="Calibri"/>
              </w:rPr>
              <w:t xml:space="preserve"> </w:t>
            </w:r>
          </w:p>
          <w:p w14:paraId="5330A295" w14:textId="77777777" w:rsidR="001977AC" w:rsidRDefault="001977AC" w:rsidP="007037E4">
            <w:pPr>
              <w:jc w:val="both"/>
              <w:rPr>
                <w:rFonts w:ascii="Calibri" w:hAnsi="Calibri" w:cs="Calibri"/>
              </w:rPr>
            </w:pPr>
          </w:p>
          <w:p w14:paraId="0BDA0C51" w14:textId="77777777" w:rsidR="001977AC" w:rsidRDefault="001977AC" w:rsidP="007037E4">
            <w:pPr>
              <w:jc w:val="both"/>
              <w:rPr>
                <w:rFonts w:ascii="Calibri" w:hAnsi="Calibri" w:cs="Calibri"/>
              </w:rPr>
            </w:pPr>
            <w:r w:rsidRPr="008632E9">
              <w:rPr>
                <w:rFonts w:ascii="Calibri" w:hAnsi="Calibri" w:cs="Calibri"/>
              </w:rPr>
              <w:t xml:space="preserve">New technologies will reshape millions of jobs in the EU. Some jobs risk being lost to </w:t>
            </w:r>
            <w:r>
              <w:rPr>
                <w:rFonts w:ascii="Calibri" w:hAnsi="Calibri" w:cs="Calibri"/>
              </w:rPr>
              <w:t>these changes;</w:t>
            </w:r>
            <w:r w:rsidRPr="008632E9">
              <w:rPr>
                <w:rFonts w:ascii="Calibri" w:hAnsi="Calibri" w:cs="Calibri"/>
              </w:rPr>
              <w:t xml:space="preserve"> </w:t>
            </w:r>
            <w:r>
              <w:rPr>
                <w:rFonts w:ascii="Calibri" w:hAnsi="Calibri" w:cs="Calibri"/>
              </w:rPr>
              <w:t>o</w:t>
            </w:r>
            <w:r w:rsidRPr="008632E9">
              <w:rPr>
                <w:rFonts w:ascii="Calibri" w:hAnsi="Calibri" w:cs="Calibri"/>
              </w:rPr>
              <w:t xml:space="preserve">thers </w:t>
            </w:r>
            <w:r>
              <w:rPr>
                <w:rFonts w:ascii="Calibri" w:hAnsi="Calibri" w:cs="Calibri"/>
              </w:rPr>
              <w:t>will be</w:t>
            </w:r>
            <w:r w:rsidRPr="008632E9">
              <w:rPr>
                <w:rFonts w:ascii="Calibri" w:hAnsi="Calibri" w:cs="Calibri"/>
              </w:rPr>
              <w:t xml:space="preserve"> transformed and </w:t>
            </w:r>
            <w:r>
              <w:rPr>
                <w:rFonts w:ascii="Calibri" w:hAnsi="Calibri" w:cs="Calibri"/>
              </w:rPr>
              <w:t xml:space="preserve">entirely </w:t>
            </w:r>
            <w:r w:rsidRPr="008632E9">
              <w:rPr>
                <w:rFonts w:ascii="Calibri" w:hAnsi="Calibri" w:cs="Calibri"/>
              </w:rPr>
              <w:t xml:space="preserve">new ones </w:t>
            </w:r>
            <w:r>
              <w:rPr>
                <w:rFonts w:ascii="Calibri" w:hAnsi="Calibri" w:cs="Calibri"/>
              </w:rPr>
              <w:t>will be</w:t>
            </w:r>
            <w:r w:rsidRPr="008632E9">
              <w:rPr>
                <w:rFonts w:ascii="Calibri" w:hAnsi="Calibri" w:cs="Calibri"/>
              </w:rPr>
              <w:t xml:space="preserve"> created</w:t>
            </w:r>
            <w:r>
              <w:rPr>
                <w:rFonts w:ascii="Calibri" w:hAnsi="Calibri" w:cs="Calibri"/>
              </w:rPr>
              <w:t>, benefitting from complementarities between human workers and supporting technologies</w:t>
            </w:r>
            <w:r w:rsidRPr="008632E9">
              <w:rPr>
                <w:rFonts w:ascii="Calibri" w:hAnsi="Calibri" w:cs="Calibri"/>
              </w:rPr>
              <w:t>. As a result, the skills w</w:t>
            </w:r>
            <w:r>
              <w:rPr>
                <w:rFonts w:ascii="Calibri" w:hAnsi="Calibri" w:cs="Calibri"/>
              </w:rPr>
              <w:t>orkers</w:t>
            </w:r>
            <w:r w:rsidRPr="008632E9">
              <w:rPr>
                <w:rFonts w:ascii="Calibri" w:hAnsi="Calibri" w:cs="Calibri"/>
              </w:rPr>
              <w:t xml:space="preserve"> need </w:t>
            </w:r>
            <w:r>
              <w:rPr>
                <w:rFonts w:ascii="Calibri" w:hAnsi="Calibri" w:cs="Calibri"/>
              </w:rPr>
              <w:t xml:space="preserve">will </w:t>
            </w:r>
            <w:r w:rsidRPr="008632E9">
              <w:rPr>
                <w:rFonts w:ascii="Calibri" w:hAnsi="Calibri" w:cs="Calibri"/>
              </w:rPr>
              <w:t xml:space="preserve">also </w:t>
            </w:r>
            <w:r>
              <w:rPr>
                <w:rFonts w:ascii="Calibri" w:hAnsi="Calibri" w:cs="Calibri"/>
              </w:rPr>
              <w:t xml:space="preserve">be </w:t>
            </w:r>
            <w:r w:rsidRPr="008632E9">
              <w:rPr>
                <w:rFonts w:ascii="Calibri" w:hAnsi="Calibri" w:cs="Calibri"/>
              </w:rPr>
              <w:t>changing</w:t>
            </w:r>
            <w:r>
              <w:rPr>
                <w:rFonts w:ascii="Calibri" w:hAnsi="Calibri" w:cs="Calibri"/>
              </w:rPr>
              <w:t xml:space="preserve"> at an unprecedented speed</w:t>
            </w:r>
            <w:r w:rsidRPr="008632E9">
              <w:rPr>
                <w:rFonts w:ascii="Calibri" w:hAnsi="Calibri" w:cs="Calibri"/>
              </w:rPr>
              <w:t xml:space="preserve">. </w:t>
            </w:r>
          </w:p>
          <w:p w14:paraId="47173F44" w14:textId="77777777" w:rsidR="001977AC" w:rsidRDefault="001977AC" w:rsidP="007037E4">
            <w:pPr>
              <w:jc w:val="both"/>
              <w:rPr>
                <w:rFonts w:ascii="Calibri" w:hAnsi="Calibri" w:cs="Calibri"/>
              </w:rPr>
            </w:pPr>
          </w:p>
          <w:p w14:paraId="61E2E440" w14:textId="77777777" w:rsidR="001977AC" w:rsidRDefault="001977AC" w:rsidP="007037E4">
            <w:pPr>
              <w:jc w:val="both"/>
              <w:rPr>
                <w:rFonts w:ascii="Calibri" w:hAnsi="Calibri" w:cs="Calibri"/>
              </w:rPr>
            </w:pPr>
            <w:r w:rsidRPr="008632E9">
              <w:rPr>
                <w:rFonts w:ascii="Calibri" w:hAnsi="Calibri" w:cs="Calibri"/>
              </w:rPr>
              <w:lastRenderedPageBreak/>
              <w:t xml:space="preserve">At the same time, new forms of employment </w:t>
            </w:r>
            <w:r>
              <w:rPr>
                <w:rFonts w:ascii="Calibri" w:hAnsi="Calibri" w:cs="Calibri"/>
              </w:rPr>
              <w:t xml:space="preserve">such as those created by the platform/gig economy </w:t>
            </w:r>
            <w:r w:rsidRPr="008632E9">
              <w:rPr>
                <w:rFonts w:ascii="Calibri" w:hAnsi="Calibri" w:cs="Calibri"/>
              </w:rPr>
              <w:t xml:space="preserve">are on the rise. </w:t>
            </w:r>
            <w:r>
              <w:rPr>
                <w:rFonts w:ascii="Calibri" w:hAnsi="Calibri" w:cs="Calibri"/>
              </w:rPr>
              <w:t xml:space="preserve">They can create opportunities for personal growth, flexibility, or a higher income, but also increase risks associated with an unfair working environment, discrimination, lack of social protection and a difficult work-life balance. </w:t>
            </w:r>
            <w:r w:rsidRPr="008632E9">
              <w:rPr>
                <w:rFonts w:ascii="Calibri" w:hAnsi="Calibri" w:cs="Calibri"/>
              </w:rPr>
              <w:t>Occupational structures are shifting, often leading to polarisation in employment and wages</w:t>
            </w:r>
            <w:r>
              <w:rPr>
                <w:rFonts w:ascii="Calibri" w:hAnsi="Calibri" w:cs="Calibri"/>
              </w:rPr>
              <w:t>,</w:t>
            </w:r>
            <w:r w:rsidRPr="008632E9">
              <w:rPr>
                <w:rFonts w:ascii="Calibri" w:hAnsi="Calibri" w:cs="Calibri"/>
              </w:rPr>
              <w:t xml:space="preserve"> increas</w:t>
            </w:r>
            <w:r>
              <w:rPr>
                <w:rFonts w:ascii="Calibri" w:hAnsi="Calibri" w:cs="Calibri"/>
              </w:rPr>
              <w:t>ing</w:t>
            </w:r>
            <w:r w:rsidRPr="008632E9">
              <w:rPr>
                <w:rFonts w:ascii="Calibri" w:hAnsi="Calibri" w:cs="Calibri"/>
              </w:rPr>
              <w:t xml:space="preserve"> inequalities</w:t>
            </w:r>
            <w:r>
              <w:rPr>
                <w:rFonts w:ascii="Calibri" w:hAnsi="Calibri" w:cs="Calibri"/>
              </w:rPr>
              <w:t>.</w:t>
            </w:r>
            <w:r w:rsidRPr="008632E9">
              <w:rPr>
                <w:rStyle w:val="FootnoteReference"/>
                <w:rFonts w:ascii="Calibri" w:hAnsi="Calibri" w:cs="Calibri"/>
              </w:rPr>
              <w:footnoteReference w:id="4"/>
            </w:r>
            <w:r w:rsidRPr="008632E9">
              <w:rPr>
                <w:rFonts w:ascii="Calibri" w:hAnsi="Calibri" w:cs="Calibri"/>
              </w:rPr>
              <w:t xml:space="preserve"> </w:t>
            </w:r>
          </w:p>
          <w:p w14:paraId="585B4F34" w14:textId="77777777" w:rsidR="001977AC" w:rsidRDefault="001977AC" w:rsidP="007037E4">
            <w:pPr>
              <w:jc w:val="both"/>
              <w:rPr>
                <w:rFonts w:ascii="Calibri" w:hAnsi="Calibri" w:cs="Calibri"/>
              </w:rPr>
            </w:pPr>
          </w:p>
          <w:p w14:paraId="41FA6392" w14:textId="77777777" w:rsidR="001977AC" w:rsidRDefault="001977AC" w:rsidP="007037E4">
            <w:pPr>
              <w:jc w:val="both"/>
              <w:rPr>
                <w:rFonts w:ascii="Calibri" w:hAnsi="Calibri" w:cs="Calibri"/>
              </w:rPr>
            </w:pPr>
            <w:r>
              <w:rPr>
                <w:rFonts w:ascii="Calibri" w:hAnsi="Calibri" w:cs="Calibri"/>
              </w:rPr>
              <w:t xml:space="preserve">Drivers of positive change, such as the greening of our energy supply and industrial production, will lead to labour reallocations, requiring new, fair and evidence-based approaches in policymaking for affected workers, particularly in the areas of skills and employment policies. </w:t>
            </w:r>
          </w:p>
          <w:p w14:paraId="3DCA9E2C" w14:textId="77777777" w:rsidR="001977AC" w:rsidRPr="00E3537D" w:rsidRDefault="001977AC" w:rsidP="007037E4">
            <w:pPr>
              <w:jc w:val="both"/>
            </w:pPr>
          </w:p>
          <w:p w14:paraId="2122D86D" w14:textId="77777777" w:rsidR="001977AC" w:rsidRDefault="001977AC" w:rsidP="007037E4">
            <w:pPr>
              <w:spacing w:after="120"/>
              <w:jc w:val="both"/>
              <w:rPr>
                <w:rStyle w:val="Strong"/>
                <w:b w:val="0"/>
              </w:rPr>
            </w:pPr>
            <w:r w:rsidRPr="008632E9">
              <w:rPr>
                <w:rFonts w:ascii="Calibri" w:hAnsi="Calibri" w:cs="Calibri"/>
              </w:rPr>
              <w:t xml:space="preserve">The employment landscape is </w:t>
            </w:r>
            <w:r>
              <w:rPr>
                <w:rFonts w:ascii="Calibri" w:hAnsi="Calibri" w:cs="Calibri"/>
              </w:rPr>
              <w:t xml:space="preserve">also </w:t>
            </w:r>
            <w:r w:rsidRPr="008632E9">
              <w:rPr>
                <w:rFonts w:ascii="Calibri" w:hAnsi="Calibri" w:cs="Calibri"/>
              </w:rPr>
              <w:t xml:space="preserve">evolving </w:t>
            </w:r>
            <w:r>
              <w:rPr>
                <w:rFonts w:ascii="Calibri" w:hAnsi="Calibri" w:cs="Calibri"/>
              </w:rPr>
              <w:t>in a variety of ways</w:t>
            </w:r>
            <w:r w:rsidRPr="008632E9">
              <w:rPr>
                <w:rFonts w:ascii="Calibri" w:hAnsi="Calibri" w:cs="Calibri"/>
              </w:rPr>
              <w:t xml:space="preserve"> across the EU, widening the gap between regions and even between urban and peripheral areas within </w:t>
            </w:r>
            <w:r>
              <w:rPr>
                <w:rFonts w:ascii="Calibri" w:hAnsi="Calibri" w:cs="Calibri"/>
              </w:rPr>
              <w:t>regions</w:t>
            </w:r>
            <w:r w:rsidRPr="008632E9">
              <w:rPr>
                <w:rFonts w:ascii="Calibri" w:hAnsi="Calibri" w:cs="Calibri"/>
              </w:rPr>
              <w:t>.</w:t>
            </w:r>
            <w:r>
              <w:rPr>
                <w:rFonts w:ascii="Calibri" w:hAnsi="Calibri" w:cs="Calibri"/>
              </w:rPr>
              <w:t xml:space="preserve"> Furthermore, </w:t>
            </w:r>
            <w:r w:rsidRPr="009B62DE">
              <w:rPr>
                <w:rStyle w:val="Strong"/>
              </w:rPr>
              <w:t xml:space="preserve">the geographical impact of the </w:t>
            </w:r>
            <w:proofErr w:type="spellStart"/>
            <w:r w:rsidRPr="009B62DE">
              <w:rPr>
                <w:rStyle w:val="Strong"/>
              </w:rPr>
              <w:t>COVID</w:t>
            </w:r>
            <w:proofErr w:type="spellEnd"/>
            <w:r w:rsidRPr="009B62DE">
              <w:rPr>
                <w:rStyle w:val="Strong"/>
              </w:rPr>
              <w:t>-19 crisis has been uneven and may widen regional inequalities that existed before the pandemic</w:t>
            </w:r>
            <w:r w:rsidRPr="009B62DE">
              <w:rPr>
                <w:rStyle w:val="FootnoteReference"/>
                <w:bCs/>
              </w:rPr>
              <w:footnoteReference w:id="5"/>
            </w:r>
            <w:r w:rsidRPr="009B62DE">
              <w:rPr>
                <w:rStyle w:val="Strong"/>
              </w:rPr>
              <w:t>.</w:t>
            </w:r>
          </w:p>
          <w:p w14:paraId="50D58A4A" w14:textId="77777777" w:rsidR="001977AC" w:rsidRPr="00D601AB" w:rsidRDefault="001977AC" w:rsidP="007037E4">
            <w:pPr>
              <w:spacing w:after="120"/>
              <w:jc w:val="both"/>
              <w:rPr>
                <w:rFonts w:ascii="Calibri" w:hAnsi="Calibri" w:cs="Calibri"/>
                <w:b/>
              </w:rPr>
            </w:pPr>
            <w:r>
              <w:rPr>
                <w:rStyle w:val="Strong"/>
              </w:rPr>
              <w:t xml:space="preserve">Finally, demographic changes force our societies to reflect on employment opportunities for young people, equipping them with the best tools to realise their potential. </w:t>
            </w:r>
            <w:r w:rsidRPr="00D601AB">
              <w:rPr>
                <w:rStyle w:val="Strong"/>
              </w:rPr>
              <w:t>Developments such as the i</w:t>
            </w:r>
            <w:r>
              <w:rPr>
                <w:rStyle w:val="Strong"/>
              </w:rPr>
              <w:t>ncrease in (healthy) life expectancy within the EU, as well as the integration of migrants in EU societies, require the right mix of policies to ensure maximum employment under fair conditions.</w:t>
            </w:r>
          </w:p>
          <w:p w14:paraId="2B2717AB" w14:textId="77777777" w:rsidR="001977AC" w:rsidRPr="00CC4E91" w:rsidRDefault="001977AC" w:rsidP="007037E4">
            <w:pPr>
              <w:spacing w:after="120" w:line="259" w:lineRule="auto"/>
              <w:jc w:val="both"/>
              <w:rPr>
                <w:rFonts w:ascii="Calibri" w:hAnsi="Calibri" w:cs="Calibri"/>
                <w:bCs/>
              </w:rPr>
            </w:pPr>
            <w:r w:rsidRPr="009E5515">
              <w:rPr>
                <w:rFonts w:ascii="Calibri" w:hAnsi="Calibri" w:cs="Calibri"/>
                <w:b/>
              </w:rPr>
              <w:t>Research and innovation is essential for providing a sound analytical underpinning for designing future-proof policies</w:t>
            </w:r>
            <w:r w:rsidRPr="00CC4E91">
              <w:rPr>
                <w:rFonts w:ascii="Calibri" w:hAnsi="Calibri" w:cs="Calibri"/>
                <w:bCs/>
              </w:rPr>
              <w:t xml:space="preserve"> that fully grasp the new opportunities offered by technology, whilst successfully tackling emerging challenges. </w:t>
            </w:r>
          </w:p>
          <w:p w14:paraId="15C3CC59" w14:textId="77777777" w:rsidR="001977AC" w:rsidRDefault="001977AC" w:rsidP="007037E4">
            <w:pPr>
              <w:spacing w:after="120" w:line="259" w:lineRule="auto"/>
              <w:jc w:val="both"/>
              <w:rPr>
                <w:rFonts w:ascii="Calibri" w:hAnsi="Calibri" w:cs="Calibri"/>
                <w:b/>
                <w:bCs/>
              </w:rPr>
            </w:pPr>
            <w:r w:rsidRPr="00CC4E91">
              <w:rPr>
                <w:rFonts w:ascii="Calibri" w:hAnsi="Calibri" w:cs="Calibri"/>
                <w:b/>
                <w:bCs/>
              </w:rPr>
              <w:t xml:space="preserve">There would be significant added value at EU level if Member States, stakeholders and </w:t>
            </w:r>
            <w:r>
              <w:rPr>
                <w:rFonts w:ascii="Calibri" w:hAnsi="Calibri" w:cs="Calibri"/>
                <w:b/>
                <w:bCs/>
              </w:rPr>
              <w:t>researchers</w:t>
            </w:r>
            <w:r w:rsidRPr="00CC4E91">
              <w:rPr>
                <w:rFonts w:ascii="Calibri" w:hAnsi="Calibri" w:cs="Calibri"/>
                <w:b/>
                <w:bCs/>
              </w:rPr>
              <w:t xml:space="preserve"> exchanged </w:t>
            </w:r>
            <w:r>
              <w:rPr>
                <w:rFonts w:ascii="Calibri" w:hAnsi="Calibri" w:cs="Calibri"/>
                <w:b/>
                <w:bCs/>
              </w:rPr>
              <w:t xml:space="preserve">data, </w:t>
            </w:r>
            <w:r w:rsidRPr="00CC4E91">
              <w:rPr>
                <w:rFonts w:ascii="Calibri" w:hAnsi="Calibri" w:cs="Calibri"/>
                <w:b/>
                <w:bCs/>
              </w:rPr>
              <w:t>good practices,</w:t>
            </w:r>
            <w:r>
              <w:rPr>
                <w:rFonts w:ascii="Calibri" w:hAnsi="Calibri" w:cs="Calibri"/>
                <w:b/>
                <w:bCs/>
              </w:rPr>
              <w:t xml:space="preserve"> and information about</w:t>
            </w:r>
            <w:r w:rsidRPr="00CC4E91">
              <w:rPr>
                <w:rFonts w:ascii="Calibri" w:hAnsi="Calibri" w:cs="Calibri"/>
                <w:b/>
                <w:bCs/>
              </w:rPr>
              <w:t xml:space="preserve"> their priorities</w:t>
            </w:r>
            <w:r>
              <w:rPr>
                <w:rFonts w:ascii="Calibri" w:hAnsi="Calibri" w:cs="Calibri"/>
                <w:b/>
                <w:bCs/>
              </w:rPr>
              <w:t>. With such a dialogue as a basis</w:t>
            </w:r>
            <w:r w:rsidRPr="00CC4E91">
              <w:rPr>
                <w:rFonts w:ascii="Calibri" w:hAnsi="Calibri" w:cs="Calibri"/>
                <w:b/>
                <w:bCs/>
              </w:rPr>
              <w:t xml:space="preserve">, </w:t>
            </w:r>
            <w:r>
              <w:rPr>
                <w:rFonts w:ascii="Calibri" w:hAnsi="Calibri" w:cs="Calibri"/>
                <w:b/>
                <w:bCs/>
              </w:rPr>
              <w:t>the would be able to</w:t>
            </w:r>
            <w:r w:rsidRPr="00CC4E91">
              <w:rPr>
                <w:rFonts w:ascii="Calibri" w:hAnsi="Calibri" w:cs="Calibri"/>
                <w:b/>
                <w:bCs/>
              </w:rPr>
              <w:t xml:space="preserve"> validate a </w:t>
            </w:r>
            <w:r>
              <w:rPr>
                <w:rFonts w:ascii="Calibri" w:hAnsi="Calibri" w:cs="Calibri"/>
                <w:b/>
                <w:bCs/>
              </w:rPr>
              <w:t>common</w:t>
            </w:r>
            <w:r w:rsidRPr="00CC4E91">
              <w:rPr>
                <w:rFonts w:ascii="Calibri" w:hAnsi="Calibri" w:cs="Calibri"/>
                <w:b/>
                <w:bCs/>
              </w:rPr>
              <w:t xml:space="preserve"> priority list, in order to shape effective and scalable EU </w:t>
            </w:r>
            <w:proofErr w:type="spellStart"/>
            <w:r w:rsidRPr="00CC4E91">
              <w:rPr>
                <w:rFonts w:ascii="Calibri" w:hAnsi="Calibri" w:cs="Calibri"/>
                <w:b/>
                <w:bCs/>
              </w:rPr>
              <w:t>R&amp;I</w:t>
            </w:r>
            <w:proofErr w:type="spellEnd"/>
            <w:r w:rsidRPr="00CC4E91">
              <w:rPr>
                <w:rFonts w:ascii="Calibri" w:hAnsi="Calibri" w:cs="Calibri"/>
                <w:b/>
                <w:bCs/>
              </w:rPr>
              <w:t xml:space="preserve"> policies and funding opportunities in the future of work domain </w:t>
            </w:r>
            <w:r>
              <w:rPr>
                <w:rFonts w:ascii="Calibri" w:hAnsi="Calibri" w:cs="Calibri"/>
                <w:b/>
                <w:bCs/>
              </w:rPr>
              <w:t>(</w:t>
            </w:r>
            <w:r w:rsidRPr="00CC4E91">
              <w:rPr>
                <w:rFonts w:ascii="Calibri" w:hAnsi="Calibri" w:cs="Calibri"/>
                <w:b/>
                <w:bCs/>
              </w:rPr>
              <w:t xml:space="preserve">with possible links with </w:t>
            </w:r>
            <w:proofErr w:type="spellStart"/>
            <w:r w:rsidRPr="00CC4E91">
              <w:rPr>
                <w:rFonts w:ascii="Calibri" w:hAnsi="Calibri" w:cs="Calibri"/>
                <w:b/>
                <w:bCs/>
              </w:rPr>
              <w:t>ESF</w:t>
            </w:r>
            <w:proofErr w:type="spellEnd"/>
            <w:r w:rsidRPr="00CC4E91">
              <w:rPr>
                <w:rFonts w:ascii="Calibri" w:hAnsi="Calibri" w:cs="Calibri"/>
                <w:b/>
                <w:bCs/>
              </w:rPr>
              <w:t>+</w:t>
            </w:r>
            <w:r>
              <w:rPr>
                <w:rFonts w:ascii="Calibri" w:hAnsi="Calibri" w:cs="Calibri"/>
                <w:b/>
                <w:bCs/>
              </w:rPr>
              <w:t>)</w:t>
            </w:r>
            <w:r w:rsidRPr="00CC4E91">
              <w:rPr>
                <w:rFonts w:ascii="Calibri" w:hAnsi="Calibri" w:cs="Calibri"/>
                <w:b/>
                <w:bCs/>
              </w:rPr>
              <w:t xml:space="preserve">. </w:t>
            </w:r>
          </w:p>
          <w:p w14:paraId="138321EA" w14:textId="77777777" w:rsidR="001977AC" w:rsidRDefault="001977AC" w:rsidP="007037E4">
            <w:pPr>
              <w:spacing w:after="120" w:line="259" w:lineRule="auto"/>
              <w:jc w:val="both"/>
              <w:rPr>
                <w:rFonts w:ascii="Calibri" w:hAnsi="Calibri" w:cs="Calibri"/>
              </w:rPr>
            </w:pPr>
            <w:r w:rsidRPr="00671C11">
              <w:rPr>
                <w:rFonts w:ascii="Calibri" w:hAnsi="Calibri" w:cs="Calibri"/>
              </w:rPr>
              <w:t xml:space="preserve">EU-level </w:t>
            </w:r>
            <w:r>
              <w:rPr>
                <w:rFonts w:ascii="Calibri" w:hAnsi="Calibri" w:cs="Calibri"/>
              </w:rPr>
              <w:t>initiatives</w:t>
            </w:r>
            <w:r w:rsidRPr="00671C11">
              <w:rPr>
                <w:rFonts w:ascii="Calibri" w:hAnsi="Calibri" w:cs="Calibri"/>
              </w:rPr>
              <w:t xml:space="preserve"> regarding the future of work </w:t>
            </w:r>
            <w:r>
              <w:rPr>
                <w:rFonts w:ascii="Calibri" w:hAnsi="Calibri" w:cs="Calibri"/>
              </w:rPr>
              <w:t>are</w:t>
            </w:r>
            <w:r w:rsidRPr="00671C11">
              <w:rPr>
                <w:rFonts w:ascii="Calibri" w:hAnsi="Calibri" w:cs="Calibri"/>
              </w:rPr>
              <w:t xml:space="preserve"> aligned with European values and fundamental rights</w:t>
            </w:r>
            <w:r>
              <w:rPr>
                <w:rFonts w:ascii="Calibri" w:hAnsi="Calibri" w:cs="Calibri"/>
              </w:rPr>
              <w:t xml:space="preserve"> and notably the European Pillar of Social Rights</w:t>
            </w:r>
            <w:r>
              <w:rPr>
                <w:rStyle w:val="FootnoteReference"/>
                <w:rFonts w:ascii="Calibri" w:hAnsi="Calibri" w:cs="Calibri"/>
              </w:rPr>
              <w:footnoteReference w:id="6"/>
            </w:r>
            <w:r w:rsidRPr="00671C11">
              <w:rPr>
                <w:rFonts w:ascii="Calibri" w:hAnsi="Calibri" w:cs="Calibri"/>
              </w:rPr>
              <w:t>. The possible scenarios for the future of work straddle across disciplines (humanities, social and natural sciences) and thematic fields (including human-centric technologies, data protection, employment legislation, social security, skills forecast and development, workers’ well-being, etc.).</w:t>
            </w:r>
          </w:p>
          <w:p w14:paraId="28B8CE99" w14:textId="77777777" w:rsidR="001977AC" w:rsidRPr="00671C11" w:rsidRDefault="001977AC" w:rsidP="007037E4">
            <w:pPr>
              <w:spacing w:after="120" w:line="259" w:lineRule="auto"/>
              <w:jc w:val="both"/>
              <w:rPr>
                <w:rFonts w:ascii="Calibri" w:hAnsi="Calibri" w:cs="Calibri"/>
              </w:rPr>
            </w:pPr>
            <w:r w:rsidRPr="0055454C">
              <w:rPr>
                <w:rFonts w:ascii="Calibri" w:hAnsi="Calibri" w:cs="Calibri"/>
                <w:b/>
              </w:rPr>
              <w:t xml:space="preserve">Currently, although addressed to some extent in the European Semester, there is no convening space for EU policy makers and stakeholders to anticipate these changes, to inform policies (at </w:t>
            </w:r>
            <w:r>
              <w:rPr>
                <w:rFonts w:ascii="Calibri" w:hAnsi="Calibri" w:cs="Calibri"/>
                <w:b/>
              </w:rPr>
              <w:t xml:space="preserve">EU, </w:t>
            </w:r>
            <w:r w:rsidRPr="0055454C">
              <w:rPr>
                <w:rFonts w:ascii="Calibri" w:hAnsi="Calibri" w:cs="Calibri"/>
                <w:b/>
              </w:rPr>
              <w:t xml:space="preserve">national, regional, </w:t>
            </w:r>
            <w:r>
              <w:rPr>
                <w:rFonts w:ascii="Calibri" w:hAnsi="Calibri" w:cs="Calibri"/>
                <w:b/>
              </w:rPr>
              <w:t xml:space="preserve">and </w:t>
            </w:r>
            <w:r w:rsidRPr="0055454C">
              <w:rPr>
                <w:rFonts w:ascii="Calibri" w:hAnsi="Calibri" w:cs="Calibri"/>
                <w:b/>
              </w:rPr>
              <w:t xml:space="preserve">local levels) or to discuss prioritisation of research and innovation funding for the </w:t>
            </w:r>
            <w:r>
              <w:rPr>
                <w:rFonts w:ascii="Calibri" w:hAnsi="Calibri" w:cs="Calibri"/>
                <w:b/>
              </w:rPr>
              <w:t>f</w:t>
            </w:r>
            <w:r w:rsidRPr="0055454C">
              <w:rPr>
                <w:rFonts w:ascii="Calibri" w:hAnsi="Calibri" w:cs="Calibri"/>
                <w:b/>
              </w:rPr>
              <w:t xml:space="preserve">uture of </w:t>
            </w:r>
            <w:r>
              <w:rPr>
                <w:rFonts w:ascii="Calibri" w:hAnsi="Calibri" w:cs="Calibri"/>
                <w:b/>
              </w:rPr>
              <w:t>w</w:t>
            </w:r>
            <w:r w:rsidRPr="0055454C">
              <w:rPr>
                <w:rFonts w:ascii="Calibri" w:hAnsi="Calibri" w:cs="Calibri"/>
                <w:b/>
              </w:rPr>
              <w:t>ork.</w:t>
            </w:r>
          </w:p>
          <w:p w14:paraId="54DA8D16" w14:textId="77777777" w:rsidR="001977AC" w:rsidRPr="00E52E7B" w:rsidRDefault="001977AC" w:rsidP="007037E4">
            <w:pPr>
              <w:spacing w:after="120"/>
              <w:jc w:val="both"/>
              <w:rPr>
                <w:rFonts w:ascii="Calibri" w:hAnsi="Calibri" w:cs="Calibri"/>
                <w:b/>
                <w:u w:val="single"/>
                <w:lang w:val="en-IE"/>
              </w:rPr>
            </w:pPr>
            <w:proofErr w:type="spellStart"/>
            <w:r w:rsidRPr="00E52E7B">
              <w:rPr>
                <w:rFonts w:ascii="Calibri" w:hAnsi="Calibri" w:cs="Calibri"/>
                <w:b/>
                <w:u w:val="single"/>
                <w:lang w:val="en-IE"/>
              </w:rPr>
              <w:t>ERA4FutureWork</w:t>
            </w:r>
            <w:proofErr w:type="spellEnd"/>
            <w:r w:rsidRPr="00E52E7B">
              <w:rPr>
                <w:rFonts w:ascii="Calibri" w:hAnsi="Calibri" w:cs="Calibri"/>
                <w:b/>
                <w:u w:val="single"/>
                <w:lang w:val="en-IE"/>
              </w:rPr>
              <w:t xml:space="preserve">: </w:t>
            </w:r>
            <w:proofErr w:type="spellStart"/>
            <w:r>
              <w:rPr>
                <w:rFonts w:ascii="Calibri" w:hAnsi="Calibri" w:cs="Calibri"/>
                <w:b/>
                <w:u w:val="single"/>
              </w:rPr>
              <w:t>R&amp;I-based</w:t>
            </w:r>
            <w:proofErr w:type="spellEnd"/>
            <w:r>
              <w:rPr>
                <w:rFonts w:ascii="Calibri" w:hAnsi="Calibri" w:cs="Calibri"/>
                <w:b/>
                <w:u w:val="single"/>
              </w:rPr>
              <w:t xml:space="preserve"> </w:t>
            </w:r>
            <w:r w:rsidRPr="00E52E7B">
              <w:rPr>
                <w:rFonts w:ascii="Calibri" w:hAnsi="Calibri" w:cs="Calibri"/>
                <w:b/>
                <w:u w:val="single"/>
              </w:rPr>
              <w:t>polic</w:t>
            </w:r>
            <w:r>
              <w:rPr>
                <w:rFonts w:ascii="Calibri" w:hAnsi="Calibri" w:cs="Calibri"/>
                <w:b/>
                <w:u w:val="single"/>
              </w:rPr>
              <w:t>y design</w:t>
            </w:r>
            <w:r w:rsidRPr="00E52E7B">
              <w:rPr>
                <w:rFonts w:ascii="Calibri" w:hAnsi="Calibri" w:cs="Calibri"/>
                <w:b/>
                <w:u w:val="single"/>
              </w:rPr>
              <w:t xml:space="preserve"> for the </w:t>
            </w:r>
            <w:r>
              <w:rPr>
                <w:rFonts w:ascii="Calibri" w:hAnsi="Calibri" w:cs="Calibri"/>
                <w:b/>
                <w:u w:val="single"/>
              </w:rPr>
              <w:t>f</w:t>
            </w:r>
            <w:r w:rsidRPr="00E52E7B">
              <w:rPr>
                <w:rFonts w:ascii="Calibri" w:hAnsi="Calibri" w:cs="Calibri"/>
                <w:b/>
                <w:u w:val="single"/>
              </w:rPr>
              <w:t xml:space="preserve">uture of </w:t>
            </w:r>
            <w:r>
              <w:rPr>
                <w:rFonts w:ascii="Calibri" w:hAnsi="Calibri" w:cs="Calibri"/>
                <w:b/>
                <w:u w:val="single"/>
              </w:rPr>
              <w:t>w</w:t>
            </w:r>
            <w:r w:rsidRPr="00E52E7B">
              <w:rPr>
                <w:rFonts w:ascii="Calibri" w:hAnsi="Calibri" w:cs="Calibri"/>
                <w:b/>
                <w:u w:val="single"/>
              </w:rPr>
              <w:t xml:space="preserve">ork </w:t>
            </w:r>
          </w:p>
          <w:p w14:paraId="5F636619" w14:textId="77777777" w:rsidR="001977AC" w:rsidRPr="0055454C" w:rsidRDefault="001977AC" w:rsidP="007037E4">
            <w:pPr>
              <w:spacing w:after="120"/>
              <w:jc w:val="both"/>
              <w:rPr>
                <w:rFonts w:ascii="Calibri" w:hAnsi="Calibri" w:cs="Calibri"/>
                <w:b/>
              </w:rPr>
            </w:pPr>
            <w:proofErr w:type="spellStart"/>
            <w:r w:rsidRPr="0055454C">
              <w:rPr>
                <w:rFonts w:ascii="Calibri" w:hAnsi="Calibri" w:cs="Calibri"/>
                <w:b/>
              </w:rPr>
              <w:lastRenderedPageBreak/>
              <w:t>ERA4FutureWork</w:t>
            </w:r>
            <w:proofErr w:type="spellEnd"/>
            <w:r w:rsidRPr="0055454C">
              <w:rPr>
                <w:rFonts w:ascii="Calibri" w:hAnsi="Calibri" w:cs="Calibri"/>
                <w:b/>
              </w:rPr>
              <w:t xml:space="preserve"> </w:t>
            </w:r>
            <w:r>
              <w:rPr>
                <w:rFonts w:ascii="Calibri" w:hAnsi="Calibri" w:cs="Calibri"/>
                <w:b/>
              </w:rPr>
              <w:t>can</w:t>
            </w:r>
            <w:r w:rsidRPr="0055454C">
              <w:rPr>
                <w:rFonts w:ascii="Calibri" w:hAnsi="Calibri" w:cs="Calibri"/>
                <w:b/>
              </w:rPr>
              <w:t xml:space="preserve"> become </w:t>
            </w:r>
            <w:r>
              <w:rPr>
                <w:rFonts w:ascii="Calibri" w:hAnsi="Calibri" w:cs="Calibri"/>
                <w:b/>
              </w:rPr>
              <w:t xml:space="preserve">such </w:t>
            </w:r>
            <w:r w:rsidRPr="0055454C">
              <w:rPr>
                <w:rFonts w:ascii="Calibri" w:hAnsi="Calibri" w:cs="Calibri"/>
                <w:b/>
              </w:rPr>
              <w:t xml:space="preserve">a convening space to discuss prioritisation of </w:t>
            </w:r>
            <w:proofErr w:type="spellStart"/>
            <w:r w:rsidRPr="0055454C">
              <w:rPr>
                <w:rFonts w:ascii="Calibri" w:hAnsi="Calibri" w:cs="Calibri"/>
                <w:b/>
              </w:rPr>
              <w:t>R&amp;I</w:t>
            </w:r>
            <w:proofErr w:type="spellEnd"/>
            <w:r w:rsidRPr="0055454C">
              <w:rPr>
                <w:rFonts w:ascii="Calibri" w:hAnsi="Calibri" w:cs="Calibri"/>
                <w:b/>
              </w:rPr>
              <w:t xml:space="preserve"> funding for the future of work and to use </w:t>
            </w:r>
            <w:proofErr w:type="spellStart"/>
            <w:r w:rsidRPr="0055454C">
              <w:rPr>
                <w:rFonts w:ascii="Calibri" w:hAnsi="Calibri" w:cs="Calibri"/>
                <w:b/>
              </w:rPr>
              <w:t>R&amp;I</w:t>
            </w:r>
            <w:proofErr w:type="spellEnd"/>
            <w:r w:rsidRPr="0055454C">
              <w:rPr>
                <w:rFonts w:ascii="Calibri" w:hAnsi="Calibri" w:cs="Calibri"/>
                <w:b/>
              </w:rPr>
              <w:t xml:space="preserve"> results to inform policies (at national, regional, local and EU levels).</w:t>
            </w:r>
          </w:p>
          <w:p w14:paraId="0350B683" w14:textId="77777777" w:rsidR="001977AC" w:rsidRPr="008632E9" w:rsidRDefault="001977AC" w:rsidP="007037E4">
            <w:pPr>
              <w:spacing w:after="120"/>
              <w:jc w:val="both"/>
              <w:rPr>
                <w:rFonts w:ascii="Calibri" w:hAnsi="Calibri" w:cs="Calibri"/>
                <w:b/>
                <w:i/>
                <w:lang w:val="en-IE"/>
              </w:rPr>
            </w:pPr>
            <w:r>
              <w:rPr>
                <w:rFonts w:ascii="Calibri" w:hAnsi="Calibri" w:cs="Calibri"/>
                <w:color w:val="000000"/>
              </w:rPr>
              <w:t>R</w:t>
            </w:r>
            <w:r w:rsidRPr="008632E9">
              <w:rPr>
                <w:rFonts w:ascii="Calibri" w:hAnsi="Calibri" w:cs="Calibri"/>
                <w:color w:val="000000"/>
              </w:rPr>
              <w:t xml:space="preserve">ecent </w:t>
            </w:r>
            <w:r>
              <w:rPr>
                <w:rFonts w:ascii="Calibri" w:hAnsi="Calibri" w:cs="Calibri"/>
                <w:color w:val="000000"/>
              </w:rPr>
              <w:t xml:space="preserve">and reliable </w:t>
            </w:r>
            <w:r w:rsidRPr="008632E9">
              <w:rPr>
                <w:rFonts w:ascii="Calibri" w:hAnsi="Calibri" w:cs="Calibri"/>
                <w:color w:val="000000"/>
              </w:rPr>
              <w:t xml:space="preserve">data </w:t>
            </w:r>
            <w:r>
              <w:rPr>
                <w:rFonts w:ascii="Calibri" w:hAnsi="Calibri" w:cs="Calibri"/>
                <w:color w:val="000000"/>
              </w:rPr>
              <w:t xml:space="preserve">on </w:t>
            </w:r>
            <w:r w:rsidRPr="008632E9">
              <w:rPr>
                <w:rFonts w:ascii="Calibri" w:hAnsi="Calibri" w:cs="Calibri"/>
                <w:color w:val="000000"/>
              </w:rPr>
              <w:t xml:space="preserve">public </w:t>
            </w:r>
            <w:proofErr w:type="spellStart"/>
            <w:r w:rsidRPr="008632E9">
              <w:rPr>
                <w:rFonts w:ascii="Calibri" w:hAnsi="Calibri" w:cs="Calibri"/>
                <w:color w:val="000000"/>
              </w:rPr>
              <w:t>R&amp;I</w:t>
            </w:r>
            <w:proofErr w:type="spellEnd"/>
            <w:r w:rsidRPr="008632E9">
              <w:rPr>
                <w:rFonts w:ascii="Calibri" w:hAnsi="Calibri" w:cs="Calibri"/>
                <w:color w:val="000000"/>
              </w:rPr>
              <w:t xml:space="preserve"> investment in the </w:t>
            </w:r>
            <w:r>
              <w:rPr>
                <w:rFonts w:ascii="Calibri" w:hAnsi="Calibri" w:cs="Calibri"/>
                <w:color w:val="000000"/>
              </w:rPr>
              <w:t>f</w:t>
            </w:r>
            <w:r w:rsidRPr="008632E9">
              <w:rPr>
                <w:rFonts w:ascii="Calibri" w:hAnsi="Calibri" w:cs="Calibri"/>
                <w:color w:val="000000"/>
              </w:rPr>
              <w:t xml:space="preserve">uture of </w:t>
            </w:r>
            <w:r>
              <w:rPr>
                <w:rFonts w:ascii="Calibri" w:hAnsi="Calibri" w:cs="Calibri"/>
                <w:color w:val="000000"/>
              </w:rPr>
              <w:t>w</w:t>
            </w:r>
            <w:r w:rsidRPr="008632E9">
              <w:rPr>
                <w:rFonts w:ascii="Calibri" w:hAnsi="Calibri" w:cs="Calibri"/>
                <w:color w:val="000000"/>
              </w:rPr>
              <w:t>ork by individual EU Member States</w:t>
            </w:r>
            <w:r>
              <w:rPr>
                <w:rFonts w:ascii="Calibri" w:hAnsi="Calibri" w:cs="Calibri"/>
                <w:color w:val="000000"/>
              </w:rPr>
              <w:t xml:space="preserve"> are</w:t>
            </w:r>
            <w:r w:rsidRPr="008632E9">
              <w:rPr>
                <w:rFonts w:ascii="Calibri" w:hAnsi="Calibri" w:cs="Calibri"/>
                <w:color w:val="000000"/>
              </w:rPr>
              <w:t xml:space="preserve"> lacking. This hampers strategic priority</w:t>
            </w:r>
            <w:r>
              <w:rPr>
                <w:rFonts w:ascii="Calibri" w:hAnsi="Calibri" w:cs="Calibri"/>
                <w:color w:val="000000"/>
              </w:rPr>
              <w:t xml:space="preserve"> setting</w:t>
            </w:r>
            <w:r w:rsidRPr="008632E9">
              <w:rPr>
                <w:rFonts w:ascii="Calibri" w:hAnsi="Calibri" w:cs="Calibri"/>
                <w:color w:val="000000"/>
              </w:rPr>
              <w:t xml:space="preserve"> for </w:t>
            </w:r>
            <w:r>
              <w:rPr>
                <w:rFonts w:ascii="Calibri" w:hAnsi="Calibri" w:cs="Calibri"/>
                <w:color w:val="000000"/>
              </w:rPr>
              <w:t>research</w:t>
            </w:r>
            <w:r w:rsidRPr="008632E9">
              <w:rPr>
                <w:rFonts w:ascii="Calibri" w:hAnsi="Calibri" w:cs="Calibri"/>
                <w:color w:val="000000"/>
              </w:rPr>
              <w:t xml:space="preserve"> funds at regional, national and EU levels (including Horizon</w:t>
            </w:r>
            <w:r>
              <w:rPr>
                <w:rFonts w:ascii="Calibri" w:hAnsi="Calibri" w:cs="Calibri"/>
                <w:color w:val="000000"/>
              </w:rPr>
              <w:t xml:space="preserve"> </w:t>
            </w:r>
            <w:r w:rsidRPr="008632E9">
              <w:rPr>
                <w:rFonts w:ascii="Calibri" w:hAnsi="Calibri" w:cs="Calibri"/>
                <w:color w:val="000000"/>
              </w:rPr>
              <w:t xml:space="preserve">Europe </w:t>
            </w:r>
            <w:r>
              <w:rPr>
                <w:rFonts w:ascii="Calibri" w:hAnsi="Calibri" w:cs="Calibri"/>
                <w:color w:val="000000"/>
              </w:rPr>
              <w:t xml:space="preserve">&amp; </w:t>
            </w:r>
            <w:r w:rsidRPr="008632E9">
              <w:rPr>
                <w:rFonts w:ascii="Calibri" w:hAnsi="Calibri" w:cs="Calibri"/>
                <w:color w:val="000000"/>
              </w:rPr>
              <w:t>Partnerships).</w:t>
            </w:r>
          </w:p>
          <w:p w14:paraId="4A766282" w14:textId="77777777" w:rsidR="001977AC" w:rsidRDefault="001977AC" w:rsidP="007037E4">
            <w:pPr>
              <w:spacing w:after="120"/>
              <w:jc w:val="both"/>
              <w:rPr>
                <w:rFonts w:ascii="Calibri" w:hAnsi="Calibri" w:cs="Calibri"/>
              </w:rPr>
            </w:pPr>
            <w:r w:rsidRPr="008632E9">
              <w:rPr>
                <w:rFonts w:ascii="Calibri" w:hAnsi="Calibri" w:cs="Calibri"/>
              </w:rPr>
              <w:t>The European Commission</w:t>
            </w:r>
            <w:r>
              <w:rPr>
                <w:rFonts w:ascii="Calibri" w:hAnsi="Calibri" w:cs="Calibri"/>
              </w:rPr>
              <w:t>'s</w:t>
            </w:r>
            <w:r w:rsidRPr="008632E9">
              <w:rPr>
                <w:rFonts w:ascii="Calibri" w:hAnsi="Calibri" w:cs="Calibri"/>
              </w:rPr>
              <w:t xml:space="preserve"> D</w:t>
            </w:r>
            <w:r>
              <w:rPr>
                <w:rFonts w:ascii="Calibri" w:hAnsi="Calibri" w:cs="Calibri"/>
              </w:rPr>
              <w:t>irectorate-General for Research and Innovation</w:t>
            </w:r>
            <w:r w:rsidRPr="008632E9">
              <w:rPr>
                <w:rFonts w:ascii="Calibri" w:hAnsi="Calibri" w:cs="Calibri"/>
              </w:rPr>
              <w:t xml:space="preserve"> recently made a first portfolio analysis </w:t>
            </w:r>
            <w:r>
              <w:rPr>
                <w:rFonts w:ascii="Calibri" w:hAnsi="Calibri" w:cs="Calibri"/>
              </w:rPr>
              <w:t xml:space="preserve">on the future of work as defined by </w:t>
            </w:r>
            <w:r>
              <w:t>three EU 2030 targets of the European Pillar of Social Rights Action Plan.</w:t>
            </w:r>
            <w:r>
              <w:rPr>
                <w:rStyle w:val="FootnoteReference"/>
              </w:rPr>
              <w:footnoteReference w:id="7"/>
            </w:r>
            <w:r>
              <w:rPr>
                <w:rFonts w:ascii="Calibri" w:hAnsi="Calibri" w:cs="Calibri"/>
              </w:rPr>
              <w:t xml:space="preserve"> It found that the </w:t>
            </w:r>
            <w:r w:rsidRPr="008632E9">
              <w:rPr>
                <w:rFonts w:ascii="Calibri" w:hAnsi="Calibri" w:cs="Calibri"/>
              </w:rPr>
              <w:t xml:space="preserve">EU has invested </w:t>
            </w:r>
            <w:r>
              <w:rPr>
                <w:rFonts w:ascii="Calibri" w:hAnsi="Calibri" w:cs="Calibri"/>
              </w:rPr>
              <w:t xml:space="preserve">close to </w:t>
            </w:r>
            <w:r w:rsidRPr="008632E9">
              <w:rPr>
                <w:rFonts w:ascii="Calibri" w:hAnsi="Calibri" w:cs="Calibri"/>
              </w:rPr>
              <w:t>€1</w:t>
            </w:r>
            <w:r>
              <w:rPr>
                <w:rFonts w:ascii="Calibri" w:hAnsi="Calibri" w:cs="Calibri"/>
              </w:rPr>
              <w:t>.</w:t>
            </w:r>
            <w:r w:rsidRPr="008632E9">
              <w:rPr>
                <w:rFonts w:ascii="Calibri" w:hAnsi="Calibri" w:cs="Calibri"/>
              </w:rPr>
              <w:t>9 billion in</w:t>
            </w:r>
            <w:r>
              <w:rPr>
                <w:rFonts w:ascii="Calibri" w:hAnsi="Calibri" w:cs="Calibri"/>
              </w:rPr>
              <w:t xml:space="preserve"> a wide range of</w:t>
            </w:r>
            <w:r w:rsidRPr="008632E9">
              <w:rPr>
                <w:rFonts w:ascii="Calibri" w:hAnsi="Calibri" w:cs="Calibri"/>
              </w:rPr>
              <w:t xml:space="preserve"> areas pertaining to the future of work, including social protection and economic competitiveness</w:t>
            </w:r>
            <w:r>
              <w:rPr>
                <w:rFonts w:ascii="Calibri" w:hAnsi="Calibri" w:cs="Calibri"/>
              </w:rPr>
              <w:t>, under</w:t>
            </w:r>
            <w:r w:rsidRPr="008632E9">
              <w:rPr>
                <w:rFonts w:ascii="Calibri" w:hAnsi="Calibri" w:cs="Calibri"/>
              </w:rPr>
              <w:t xml:space="preserve"> its Horizon 2020 </w:t>
            </w:r>
            <w:proofErr w:type="spellStart"/>
            <w:r w:rsidRPr="008632E9">
              <w:rPr>
                <w:rFonts w:ascii="Calibri" w:hAnsi="Calibri" w:cs="Calibri"/>
              </w:rPr>
              <w:t>R&amp;I</w:t>
            </w:r>
            <w:proofErr w:type="spellEnd"/>
            <w:r w:rsidRPr="008632E9">
              <w:rPr>
                <w:rFonts w:ascii="Calibri" w:hAnsi="Calibri" w:cs="Calibri"/>
              </w:rPr>
              <w:t xml:space="preserve"> programme.</w:t>
            </w:r>
            <w:r w:rsidRPr="008632E9">
              <w:rPr>
                <w:rStyle w:val="FootnoteReference"/>
                <w:rFonts w:ascii="Calibri" w:hAnsi="Calibri" w:cs="Calibri"/>
              </w:rPr>
              <w:footnoteReference w:id="8"/>
            </w:r>
            <w:r w:rsidRPr="008632E9">
              <w:rPr>
                <w:rFonts w:ascii="Calibri" w:hAnsi="Calibri" w:cs="Calibri"/>
              </w:rPr>
              <w:t xml:space="preserve"> </w:t>
            </w:r>
          </w:p>
          <w:p w14:paraId="3AADE16E" w14:textId="77777777" w:rsidR="001977AC" w:rsidRDefault="001977AC" w:rsidP="007037E4">
            <w:pPr>
              <w:spacing w:after="120"/>
              <w:jc w:val="both"/>
              <w:rPr>
                <w:rFonts w:ascii="Calibri" w:hAnsi="Calibri" w:cs="Calibri"/>
              </w:rPr>
            </w:pPr>
            <w:r w:rsidRPr="008632E9">
              <w:rPr>
                <w:rFonts w:ascii="Calibri" w:hAnsi="Calibri" w:cs="Calibri"/>
                <w:noProof/>
                <w:u w:val="single"/>
                <w:lang w:val="en-US"/>
              </w:rPr>
              <w:drawing>
                <wp:anchor distT="0" distB="0" distL="114300" distR="114300" simplePos="0" relativeHeight="251659264" behindDoc="0" locked="0" layoutInCell="1" allowOverlap="1" wp14:anchorId="52898D0D" wp14:editId="01F51573">
                  <wp:simplePos x="0" y="0"/>
                  <wp:positionH relativeFrom="column">
                    <wp:posOffset>-33965</wp:posOffset>
                  </wp:positionH>
                  <wp:positionV relativeFrom="paragraph">
                    <wp:posOffset>992490</wp:posOffset>
                  </wp:positionV>
                  <wp:extent cx="4039870" cy="1965960"/>
                  <wp:effectExtent l="0" t="0" r="17780" b="1524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8632E9">
              <w:rPr>
                <w:rFonts w:ascii="Calibri" w:hAnsi="Calibri" w:cs="Calibri"/>
              </w:rPr>
              <w:t xml:space="preserve">At least 650 </w:t>
            </w:r>
            <w:proofErr w:type="spellStart"/>
            <w:r w:rsidRPr="008632E9">
              <w:rPr>
                <w:rFonts w:ascii="Calibri" w:hAnsi="Calibri" w:cs="Calibri"/>
              </w:rPr>
              <w:t>R&amp;I</w:t>
            </w:r>
            <w:proofErr w:type="spellEnd"/>
            <w:r w:rsidRPr="008632E9">
              <w:rPr>
                <w:rFonts w:ascii="Calibri" w:hAnsi="Calibri" w:cs="Calibri"/>
              </w:rPr>
              <w:t xml:space="preserve"> projects with approximately 3</w:t>
            </w:r>
            <w:r>
              <w:rPr>
                <w:rFonts w:ascii="Calibri" w:hAnsi="Calibri" w:cs="Calibri"/>
              </w:rPr>
              <w:t>.</w:t>
            </w:r>
            <w:r w:rsidRPr="008632E9">
              <w:rPr>
                <w:rFonts w:ascii="Calibri" w:hAnsi="Calibri" w:cs="Calibri"/>
              </w:rPr>
              <w:t xml:space="preserve">400 participating organisations were identified. This demonstrates the huge interest </w:t>
            </w:r>
            <w:r>
              <w:rPr>
                <w:rFonts w:ascii="Calibri" w:hAnsi="Calibri" w:cs="Calibri"/>
              </w:rPr>
              <w:t>of</w:t>
            </w:r>
            <w:r w:rsidRPr="008632E9">
              <w:rPr>
                <w:rFonts w:ascii="Calibri" w:hAnsi="Calibri" w:cs="Calibri"/>
              </w:rPr>
              <w:t xml:space="preserve"> a wide range of sectors in </w:t>
            </w:r>
            <w:proofErr w:type="spellStart"/>
            <w:r>
              <w:rPr>
                <w:rFonts w:ascii="Calibri" w:hAnsi="Calibri" w:cs="Calibri"/>
              </w:rPr>
              <w:t>R&amp;I</w:t>
            </w:r>
            <w:proofErr w:type="spellEnd"/>
            <w:r w:rsidRPr="008632E9">
              <w:rPr>
                <w:rFonts w:ascii="Calibri" w:hAnsi="Calibri" w:cs="Calibri"/>
              </w:rPr>
              <w:t xml:space="preserve"> projects </w:t>
            </w:r>
            <w:r>
              <w:rPr>
                <w:rFonts w:ascii="Calibri" w:hAnsi="Calibri" w:cs="Calibri"/>
              </w:rPr>
              <w:t>affecting</w:t>
            </w:r>
            <w:r w:rsidRPr="008632E9">
              <w:rPr>
                <w:rFonts w:ascii="Calibri" w:hAnsi="Calibri" w:cs="Calibri"/>
              </w:rPr>
              <w:t xml:space="preserve"> the future of work, from the quality of jobs, social protection, and next-generation manufacturing to the intersection of health and employment</w:t>
            </w:r>
            <w:r>
              <w:rPr>
                <w:rFonts w:ascii="Calibri" w:hAnsi="Calibri" w:cs="Calibri"/>
              </w:rPr>
              <w:t>.</w:t>
            </w:r>
          </w:p>
          <w:p w14:paraId="3BAE1F63" w14:textId="77777777" w:rsidR="001977AC" w:rsidRPr="008632E9" w:rsidRDefault="001977AC" w:rsidP="007037E4">
            <w:pPr>
              <w:spacing w:after="120" w:line="259" w:lineRule="auto"/>
              <w:jc w:val="both"/>
              <w:rPr>
                <w:rFonts w:ascii="Calibri" w:hAnsi="Calibri" w:cs="Calibri"/>
              </w:rPr>
            </w:pPr>
            <w:r w:rsidRPr="008632E9">
              <w:rPr>
                <w:rFonts w:ascii="Calibri" w:hAnsi="Calibri" w:cs="Calibri"/>
              </w:rPr>
              <w:t xml:space="preserve">It also provides initial indications of </w:t>
            </w:r>
            <w:r>
              <w:rPr>
                <w:rFonts w:ascii="Calibri" w:hAnsi="Calibri" w:cs="Calibri"/>
              </w:rPr>
              <w:t>potential gaps</w:t>
            </w:r>
            <w:r w:rsidRPr="008632E9">
              <w:rPr>
                <w:rFonts w:ascii="Calibri" w:hAnsi="Calibri" w:cs="Calibri"/>
              </w:rPr>
              <w:t xml:space="preserve"> </w:t>
            </w:r>
            <w:r>
              <w:rPr>
                <w:rFonts w:ascii="Calibri" w:hAnsi="Calibri" w:cs="Calibri"/>
              </w:rPr>
              <w:t>for</w:t>
            </w:r>
            <w:r w:rsidRPr="008632E9">
              <w:rPr>
                <w:rFonts w:ascii="Calibri" w:hAnsi="Calibri" w:cs="Calibri"/>
              </w:rPr>
              <w:t xml:space="preserve"> future </w:t>
            </w:r>
            <w:proofErr w:type="spellStart"/>
            <w:r>
              <w:rPr>
                <w:rFonts w:ascii="Calibri" w:hAnsi="Calibri" w:cs="Calibri"/>
              </w:rPr>
              <w:t>R&amp;I</w:t>
            </w:r>
            <w:proofErr w:type="spellEnd"/>
            <w:r w:rsidRPr="008632E9">
              <w:rPr>
                <w:rFonts w:ascii="Calibri" w:hAnsi="Calibri" w:cs="Calibri"/>
              </w:rPr>
              <w:t xml:space="preserve"> funding</w:t>
            </w:r>
            <w:r>
              <w:rPr>
                <w:rFonts w:ascii="Calibri" w:hAnsi="Calibri" w:cs="Calibri"/>
              </w:rPr>
              <w:t>,</w:t>
            </w:r>
            <w:r w:rsidRPr="008632E9">
              <w:rPr>
                <w:rFonts w:ascii="Calibri" w:hAnsi="Calibri" w:cs="Calibri"/>
              </w:rPr>
              <w:t xml:space="preserve"> </w:t>
            </w:r>
            <w:r>
              <w:rPr>
                <w:rFonts w:ascii="Calibri" w:hAnsi="Calibri" w:cs="Calibri"/>
              </w:rPr>
              <w:t>including</w:t>
            </w:r>
            <w:r w:rsidRPr="008632E9">
              <w:rPr>
                <w:rFonts w:ascii="Calibri" w:hAnsi="Calibri" w:cs="Calibri"/>
              </w:rPr>
              <w:t xml:space="preserve"> </w:t>
            </w:r>
            <w:r>
              <w:rPr>
                <w:rFonts w:ascii="Calibri" w:hAnsi="Calibri" w:cs="Calibri"/>
              </w:rPr>
              <w:t xml:space="preserve">green jobs, </w:t>
            </w:r>
            <w:r w:rsidRPr="008632E9">
              <w:rPr>
                <w:rFonts w:ascii="Calibri" w:hAnsi="Calibri" w:cs="Calibri"/>
              </w:rPr>
              <w:t xml:space="preserve">inclusive workplaces, </w:t>
            </w:r>
            <w:r>
              <w:rPr>
                <w:rFonts w:ascii="Calibri" w:hAnsi="Calibri" w:cs="Calibri"/>
              </w:rPr>
              <w:t xml:space="preserve">occupational health and safety, </w:t>
            </w:r>
            <w:r w:rsidRPr="008632E9">
              <w:rPr>
                <w:rFonts w:ascii="Calibri" w:hAnsi="Calibri" w:cs="Calibri"/>
              </w:rPr>
              <w:t>re- and upskilling</w:t>
            </w:r>
            <w:r>
              <w:rPr>
                <w:rFonts w:ascii="Calibri" w:hAnsi="Calibri" w:cs="Calibri"/>
              </w:rPr>
              <w:t>, social protection,</w:t>
            </w:r>
            <w:r w:rsidRPr="008632E9">
              <w:rPr>
                <w:rFonts w:ascii="Calibri" w:hAnsi="Calibri" w:cs="Calibri"/>
              </w:rPr>
              <w:t xml:space="preserve"> </w:t>
            </w:r>
            <w:r>
              <w:rPr>
                <w:rFonts w:ascii="Calibri" w:hAnsi="Calibri" w:cs="Calibri"/>
              </w:rPr>
              <w:t xml:space="preserve">ethical and trustworthy AI, </w:t>
            </w:r>
            <w:r w:rsidRPr="00953843">
              <w:rPr>
                <w:rFonts w:ascii="Calibri" w:hAnsi="Calibri" w:cs="Calibri"/>
              </w:rPr>
              <w:t>the platform economy,</w:t>
            </w:r>
            <w:r>
              <w:rPr>
                <w:rFonts w:ascii="Calibri" w:hAnsi="Calibri" w:cs="Calibri"/>
              </w:rPr>
              <w:t xml:space="preserve"> </w:t>
            </w:r>
            <w:r w:rsidRPr="008632E9">
              <w:rPr>
                <w:rFonts w:ascii="Calibri" w:hAnsi="Calibri" w:cs="Calibri"/>
              </w:rPr>
              <w:t xml:space="preserve">and human-machine collaboration. </w:t>
            </w:r>
          </w:p>
          <w:p w14:paraId="21F6FE6B" w14:textId="77777777" w:rsidR="001977AC" w:rsidRPr="0055454C" w:rsidRDefault="001977AC" w:rsidP="007037E4">
            <w:pPr>
              <w:spacing w:after="120"/>
              <w:jc w:val="both"/>
              <w:rPr>
                <w:rFonts w:ascii="Calibri" w:hAnsi="Calibri" w:cs="Calibri"/>
                <w:b/>
                <w:u w:val="single"/>
              </w:rPr>
            </w:pPr>
            <w:proofErr w:type="spellStart"/>
            <w:r w:rsidRPr="00AF7414">
              <w:rPr>
                <w:rFonts w:ascii="Calibri" w:hAnsi="Calibri" w:cs="Calibri"/>
                <w:b/>
                <w:u w:val="single"/>
              </w:rPr>
              <w:t>ERA4FutureWork</w:t>
            </w:r>
            <w:proofErr w:type="spellEnd"/>
            <w:r w:rsidRPr="00AF7414">
              <w:rPr>
                <w:rFonts w:ascii="Calibri" w:hAnsi="Calibri" w:cs="Calibri"/>
                <w:b/>
                <w:u w:val="single"/>
              </w:rPr>
              <w:t xml:space="preserve">: </w:t>
            </w:r>
            <w:r w:rsidRPr="0055454C">
              <w:rPr>
                <w:rFonts w:ascii="Calibri" w:hAnsi="Calibri" w:cs="Calibri"/>
                <w:b/>
                <w:u w:val="single"/>
              </w:rPr>
              <w:t>Proposed acti</w:t>
            </w:r>
            <w:r>
              <w:rPr>
                <w:rFonts w:ascii="Calibri" w:hAnsi="Calibri" w:cs="Calibri"/>
                <w:b/>
                <w:u w:val="single"/>
              </w:rPr>
              <w:t>vities</w:t>
            </w:r>
          </w:p>
          <w:p w14:paraId="1B8B2677" w14:textId="77777777" w:rsidR="001977AC" w:rsidRPr="008632E9" w:rsidRDefault="001977AC" w:rsidP="007037E4">
            <w:pPr>
              <w:spacing w:after="120"/>
              <w:jc w:val="both"/>
              <w:rPr>
                <w:rFonts w:ascii="Calibri" w:hAnsi="Calibri" w:cs="Calibri"/>
              </w:rPr>
            </w:pPr>
            <w:r w:rsidRPr="008632E9">
              <w:rPr>
                <w:rFonts w:ascii="Calibri" w:hAnsi="Calibri" w:cs="Calibri"/>
              </w:rPr>
              <w:t xml:space="preserve">This </w:t>
            </w:r>
            <w:r>
              <w:rPr>
                <w:rFonts w:ascii="Calibri" w:hAnsi="Calibri" w:cs="Calibri"/>
              </w:rPr>
              <w:t>sub-</w:t>
            </w:r>
            <w:r w:rsidRPr="008632E9">
              <w:rPr>
                <w:rFonts w:ascii="Calibri" w:hAnsi="Calibri" w:cs="Calibri"/>
              </w:rPr>
              <w:t xml:space="preserve">action proposes </w:t>
            </w:r>
            <w:r>
              <w:rPr>
                <w:rFonts w:ascii="Calibri" w:hAnsi="Calibri" w:cs="Calibri"/>
              </w:rPr>
              <w:t>two</w:t>
            </w:r>
            <w:r w:rsidRPr="008632E9">
              <w:rPr>
                <w:rFonts w:ascii="Calibri" w:hAnsi="Calibri" w:cs="Calibri"/>
              </w:rPr>
              <w:t xml:space="preserve"> activities </w:t>
            </w:r>
            <w:r>
              <w:rPr>
                <w:rFonts w:ascii="Calibri" w:hAnsi="Calibri" w:cs="Calibri"/>
              </w:rPr>
              <w:t>which complement each other and</w:t>
            </w:r>
            <w:r w:rsidRPr="008632E9">
              <w:rPr>
                <w:rFonts w:ascii="Calibri" w:hAnsi="Calibri" w:cs="Calibri"/>
              </w:rPr>
              <w:t xml:space="preserve"> enable </w:t>
            </w:r>
            <w:r>
              <w:rPr>
                <w:rFonts w:ascii="Calibri" w:hAnsi="Calibri" w:cs="Calibri"/>
              </w:rPr>
              <w:t>cross-border</w:t>
            </w:r>
            <w:r w:rsidRPr="008632E9">
              <w:rPr>
                <w:rFonts w:ascii="Calibri" w:hAnsi="Calibri" w:cs="Calibri"/>
              </w:rPr>
              <w:t xml:space="preserve"> cooperation o</w:t>
            </w:r>
            <w:r>
              <w:rPr>
                <w:rFonts w:ascii="Calibri" w:hAnsi="Calibri" w:cs="Calibri"/>
              </w:rPr>
              <w:t>n</w:t>
            </w:r>
            <w:r w:rsidRPr="008632E9">
              <w:rPr>
                <w:rFonts w:ascii="Calibri" w:hAnsi="Calibri" w:cs="Calibri"/>
              </w:rPr>
              <w:t xml:space="preserve"> </w:t>
            </w:r>
            <w:proofErr w:type="spellStart"/>
            <w:r w:rsidRPr="008632E9">
              <w:rPr>
                <w:rFonts w:ascii="Calibri" w:hAnsi="Calibri" w:cs="Calibri"/>
              </w:rPr>
              <w:t>R&amp;</w:t>
            </w:r>
            <w:r>
              <w:rPr>
                <w:rFonts w:ascii="Calibri" w:hAnsi="Calibri" w:cs="Calibri"/>
              </w:rPr>
              <w:t>I</w:t>
            </w:r>
            <w:proofErr w:type="spellEnd"/>
            <w:r w:rsidRPr="008632E9">
              <w:rPr>
                <w:rFonts w:ascii="Calibri" w:hAnsi="Calibri" w:cs="Calibri"/>
              </w:rPr>
              <w:t xml:space="preserve"> investments, decision-making and monitoring</w:t>
            </w:r>
            <w:r>
              <w:rPr>
                <w:rFonts w:ascii="Calibri" w:hAnsi="Calibri" w:cs="Calibri"/>
              </w:rPr>
              <w:t>:</w:t>
            </w:r>
          </w:p>
          <w:p w14:paraId="444F63AB" w14:textId="77777777" w:rsidR="001977AC" w:rsidRPr="009C23FA" w:rsidRDefault="001977AC" w:rsidP="001977AC">
            <w:pPr>
              <w:pStyle w:val="ListParagraph"/>
              <w:numPr>
                <w:ilvl w:val="0"/>
                <w:numId w:val="21"/>
              </w:numPr>
              <w:spacing w:after="120"/>
              <w:jc w:val="both"/>
              <w:rPr>
                <w:rFonts w:ascii="Calibri" w:hAnsi="Calibri" w:cs="Calibri"/>
                <w:b/>
              </w:rPr>
            </w:pPr>
            <w:r w:rsidRPr="009C23FA">
              <w:rPr>
                <w:rFonts w:ascii="Calibri" w:hAnsi="Calibri" w:cs="Calibri"/>
                <w:b/>
              </w:rPr>
              <w:t xml:space="preserve">Improving the evidence base to support policymaking for </w:t>
            </w:r>
            <w:proofErr w:type="spellStart"/>
            <w:r w:rsidRPr="009C23FA">
              <w:rPr>
                <w:rFonts w:ascii="Calibri" w:hAnsi="Calibri" w:cs="Calibri"/>
                <w:b/>
              </w:rPr>
              <w:t>R&amp;I</w:t>
            </w:r>
            <w:proofErr w:type="spellEnd"/>
            <w:r w:rsidRPr="009C23FA">
              <w:rPr>
                <w:rFonts w:ascii="Calibri" w:hAnsi="Calibri" w:cs="Calibri"/>
                <w:b/>
              </w:rPr>
              <w:t xml:space="preserve"> </w:t>
            </w:r>
            <w:r>
              <w:rPr>
                <w:rFonts w:ascii="Calibri" w:hAnsi="Calibri" w:cs="Calibri"/>
                <w:b/>
              </w:rPr>
              <w:t>for</w:t>
            </w:r>
            <w:r w:rsidRPr="009C23FA">
              <w:rPr>
                <w:rFonts w:ascii="Calibri" w:hAnsi="Calibri" w:cs="Calibri"/>
                <w:b/>
              </w:rPr>
              <w:t xml:space="preserve"> the </w:t>
            </w:r>
            <w:r>
              <w:rPr>
                <w:rFonts w:ascii="Calibri" w:hAnsi="Calibri" w:cs="Calibri"/>
                <w:b/>
              </w:rPr>
              <w:t>f</w:t>
            </w:r>
            <w:r w:rsidRPr="009C23FA">
              <w:rPr>
                <w:rFonts w:ascii="Calibri" w:hAnsi="Calibri" w:cs="Calibri"/>
                <w:b/>
              </w:rPr>
              <w:t xml:space="preserve">uture of </w:t>
            </w:r>
            <w:r>
              <w:rPr>
                <w:rFonts w:ascii="Calibri" w:hAnsi="Calibri" w:cs="Calibri"/>
                <w:b/>
              </w:rPr>
              <w:t>w</w:t>
            </w:r>
            <w:r w:rsidRPr="009C23FA">
              <w:rPr>
                <w:rFonts w:ascii="Calibri" w:hAnsi="Calibri" w:cs="Calibri"/>
                <w:b/>
              </w:rPr>
              <w:t xml:space="preserve">ork: </w:t>
            </w:r>
          </w:p>
          <w:p w14:paraId="34AF790E" w14:textId="77777777" w:rsidR="001977AC" w:rsidRDefault="001977AC" w:rsidP="001977AC">
            <w:pPr>
              <w:pStyle w:val="ListParagraph"/>
              <w:numPr>
                <w:ilvl w:val="0"/>
                <w:numId w:val="23"/>
              </w:numPr>
              <w:spacing w:after="120"/>
              <w:jc w:val="both"/>
              <w:rPr>
                <w:rFonts w:ascii="Calibri" w:hAnsi="Calibri" w:cs="Calibri"/>
              </w:rPr>
            </w:pPr>
            <w:r>
              <w:rPr>
                <w:rFonts w:ascii="Calibri" w:hAnsi="Calibri" w:cs="Calibri"/>
              </w:rPr>
              <w:t xml:space="preserve">Expanding the portfolio analysis of past and ongoing, relevant EU-funded </w:t>
            </w:r>
            <w:proofErr w:type="spellStart"/>
            <w:r>
              <w:rPr>
                <w:rFonts w:ascii="Calibri" w:hAnsi="Calibri" w:cs="Calibri"/>
              </w:rPr>
              <w:t>R&amp;I</w:t>
            </w:r>
            <w:proofErr w:type="spellEnd"/>
            <w:r>
              <w:rPr>
                <w:rFonts w:ascii="Calibri" w:hAnsi="Calibri" w:cs="Calibri"/>
              </w:rPr>
              <w:t xml:space="preserve"> projects to also cover new Horizon Europe actions. </w:t>
            </w:r>
          </w:p>
          <w:p w14:paraId="4AC3D112" w14:textId="77777777" w:rsidR="001977AC" w:rsidRDefault="001977AC" w:rsidP="001977AC">
            <w:pPr>
              <w:pStyle w:val="ListParagraph"/>
              <w:numPr>
                <w:ilvl w:val="0"/>
                <w:numId w:val="23"/>
              </w:numPr>
              <w:spacing w:after="120"/>
              <w:jc w:val="both"/>
              <w:rPr>
                <w:rFonts w:ascii="Calibri" w:hAnsi="Calibri" w:cs="Calibri"/>
              </w:rPr>
            </w:pPr>
            <w:r>
              <w:rPr>
                <w:rFonts w:ascii="Calibri" w:hAnsi="Calibri" w:cs="Calibri"/>
              </w:rPr>
              <w:t xml:space="preserve">Mapping equivalent </w:t>
            </w:r>
            <w:proofErr w:type="spellStart"/>
            <w:r>
              <w:rPr>
                <w:rFonts w:ascii="Calibri" w:hAnsi="Calibri" w:cs="Calibri"/>
              </w:rPr>
              <w:t>R&amp;I</w:t>
            </w:r>
            <w:proofErr w:type="spellEnd"/>
            <w:r>
              <w:rPr>
                <w:rFonts w:ascii="Calibri" w:hAnsi="Calibri" w:cs="Calibri"/>
              </w:rPr>
              <w:t xml:space="preserve"> activities performed at local, regional or national levels by interested Member States, research organisations or social partners (e.g. through quantitative surveys, case studies and presentations). </w:t>
            </w:r>
          </w:p>
          <w:p w14:paraId="55388837" w14:textId="77777777" w:rsidR="001977AC" w:rsidRPr="006C788D" w:rsidRDefault="001977AC" w:rsidP="001977AC">
            <w:pPr>
              <w:pStyle w:val="ListParagraph"/>
              <w:numPr>
                <w:ilvl w:val="0"/>
                <w:numId w:val="23"/>
              </w:numPr>
              <w:spacing w:after="120"/>
              <w:jc w:val="both"/>
              <w:rPr>
                <w:rFonts w:ascii="Calibri" w:hAnsi="Calibri" w:cs="Calibri"/>
              </w:rPr>
            </w:pPr>
            <w:r>
              <w:rPr>
                <w:rFonts w:ascii="Calibri" w:hAnsi="Calibri" w:cs="Calibri"/>
              </w:rPr>
              <w:t xml:space="preserve">Conducting a complementary/targeted gap analysis to identify </w:t>
            </w:r>
            <w:r w:rsidRPr="00402861">
              <w:rPr>
                <w:rFonts w:ascii="Calibri" w:hAnsi="Calibri" w:cs="Calibri"/>
              </w:rPr>
              <w:t xml:space="preserve">knowledge gaps on </w:t>
            </w:r>
            <w:proofErr w:type="spellStart"/>
            <w:r w:rsidRPr="00402861">
              <w:rPr>
                <w:rFonts w:ascii="Calibri" w:hAnsi="Calibri" w:cs="Calibri"/>
              </w:rPr>
              <w:t>R&amp;I</w:t>
            </w:r>
            <w:proofErr w:type="spellEnd"/>
            <w:r w:rsidRPr="00402861">
              <w:rPr>
                <w:rFonts w:ascii="Calibri" w:hAnsi="Calibri" w:cs="Calibri"/>
              </w:rPr>
              <w:t xml:space="preserve"> </w:t>
            </w:r>
            <w:r>
              <w:rPr>
                <w:rFonts w:ascii="Calibri" w:hAnsi="Calibri" w:cs="Calibri"/>
              </w:rPr>
              <w:t>for the</w:t>
            </w:r>
            <w:r w:rsidRPr="00402861">
              <w:rPr>
                <w:rFonts w:ascii="Calibri" w:hAnsi="Calibri" w:cs="Calibri"/>
              </w:rPr>
              <w:t xml:space="preserve"> future of work</w:t>
            </w:r>
            <w:r>
              <w:rPr>
                <w:rFonts w:ascii="Calibri" w:hAnsi="Calibri" w:cs="Calibri"/>
              </w:rPr>
              <w:t>.</w:t>
            </w:r>
            <w:r w:rsidRPr="00402861">
              <w:rPr>
                <w:rFonts w:ascii="Calibri" w:hAnsi="Calibri" w:cs="Calibri"/>
              </w:rPr>
              <w:t xml:space="preserve"> </w:t>
            </w:r>
            <w:r>
              <w:rPr>
                <w:rFonts w:ascii="Calibri" w:hAnsi="Calibri" w:cs="Calibri"/>
              </w:rPr>
              <w:t>This analysis would take the form of a study, leveraging appropriate external expertise, in collaboration with interested Member States and associated countries, as well as with social partners.</w:t>
            </w:r>
          </w:p>
          <w:p w14:paraId="74CE764D" w14:textId="77777777" w:rsidR="001977AC" w:rsidRPr="008632E9" w:rsidRDefault="001977AC" w:rsidP="007037E4">
            <w:pPr>
              <w:pStyle w:val="ListParagraph"/>
              <w:spacing w:after="120"/>
              <w:jc w:val="both"/>
              <w:rPr>
                <w:rFonts w:ascii="Calibri" w:hAnsi="Calibri" w:cs="Calibri"/>
              </w:rPr>
            </w:pPr>
          </w:p>
          <w:p w14:paraId="2F9D5D63" w14:textId="77777777" w:rsidR="001977AC" w:rsidRPr="00017DD4" w:rsidRDefault="001977AC" w:rsidP="001977AC">
            <w:pPr>
              <w:pStyle w:val="ListParagraph"/>
              <w:numPr>
                <w:ilvl w:val="0"/>
                <w:numId w:val="21"/>
              </w:numPr>
              <w:spacing w:after="120"/>
              <w:jc w:val="both"/>
              <w:rPr>
                <w:rFonts w:ascii="Calibri" w:hAnsi="Calibri" w:cs="Calibri"/>
                <w:color w:val="000000"/>
              </w:rPr>
            </w:pPr>
            <w:r w:rsidRPr="00741738">
              <w:rPr>
                <w:rFonts w:ascii="Calibri" w:hAnsi="Calibri" w:cs="Calibri"/>
                <w:b/>
              </w:rPr>
              <w:t xml:space="preserve">Setting up </w:t>
            </w:r>
            <w:r>
              <w:rPr>
                <w:rFonts w:ascii="Calibri" w:hAnsi="Calibri" w:cs="Calibri"/>
                <w:b/>
              </w:rPr>
              <w:t xml:space="preserve">an </w:t>
            </w:r>
            <w:proofErr w:type="spellStart"/>
            <w:r w:rsidRPr="00741738">
              <w:rPr>
                <w:rFonts w:ascii="Calibri" w:hAnsi="Calibri" w:cs="Calibri"/>
                <w:b/>
              </w:rPr>
              <w:t>ERA4</w:t>
            </w:r>
            <w:r>
              <w:rPr>
                <w:rFonts w:ascii="Calibri" w:hAnsi="Calibri" w:cs="Calibri"/>
                <w:b/>
              </w:rPr>
              <w:t>Future</w:t>
            </w:r>
            <w:r w:rsidRPr="00741738">
              <w:rPr>
                <w:rFonts w:ascii="Calibri" w:hAnsi="Calibri" w:cs="Calibri"/>
                <w:b/>
              </w:rPr>
              <w:t>Work</w:t>
            </w:r>
            <w:proofErr w:type="spellEnd"/>
            <w:r w:rsidRPr="00741738">
              <w:rPr>
                <w:rFonts w:ascii="Calibri" w:hAnsi="Calibri" w:cs="Calibri"/>
                <w:b/>
              </w:rPr>
              <w:t xml:space="preserve"> </w:t>
            </w:r>
            <w:proofErr w:type="spellStart"/>
            <w:r w:rsidRPr="00741738">
              <w:rPr>
                <w:rFonts w:ascii="Calibri" w:hAnsi="Calibri" w:cs="Calibri"/>
                <w:b/>
              </w:rPr>
              <w:t>R&amp;</w:t>
            </w:r>
            <w:r>
              <w:rPr>
                <w:rFonts w:ascii="Calibri" w:hAnsi="Calibri" w:cs="Calibri"/>
                <w:b/>
              </w:rPr>
              <w:t>I</w:t>
            </w:r>
            <w:proofErr w:type="spellEnd"/>
            <w:r w:rsidRPr="00741738">
              <w:rPr>
                <w:rFonts w:ascii="Calibri" w:hAnsi="Calibri" w:cs="Calibri"/>
                <w:b/>
              </w:rPr>
              <w:t xml:space="preserve"> funding </w:t>
            </w:r>
            <w:r>
              <w:rPr>
                <w:rFonts w:ascii="Calibri" w:hAnsi="Calibri" w:cs="Calibri"/>
                <w:b/>
              </w:rPr>
              <w:t xml:space="preserve">&amp; </w:t>
            </w:r>
            <w:r w:rsidRPr="00741738">
              <w:rPr>
                <w:rFonts w:ascii="Calibri" w:hAnsi="Calibri" w:cs="Calibri"/>
                <w:b/>
              </w:rPr>
              <w:t>investment policy dialogue</w:t>
            </w:r>
            <w:r w:rsidRPr="00741738">
              <w:rPr>
                <w:rFonts w:ascii="Calibri" w:hAnsi="Calibri" w:cs="Calibri"/>
              </w:rPr>
              <w:t xml:space="preserve"> for strengthening </w:t>
            </w:r>
            <w:r>
              <w:rPr>
                <w:rFonts w:ascii="Calibri" w:hAnsi="Calibri" w:cs="Calibri"/>
              </w:rPr>
              <w:t xml:space="preserve">Europe’s collective </w:t>
            </w:r>
            <w:r w:rsidRPr="00741738">
              <w:rPr>
                <w:rFonts w:ascii="Calibri" w:hAnsi="Calibri" w:cs="Calibri"/>
              </w:rPr>
              <w:t xml:space="preserve">capacity </w:t>
            </w:r>
            <w:r>
              <w:rPr>
                <w:rFonts w:ascii="Calibri" w:hAnsi="Calibri" w:cs="Calibri"/>
              </w:rPr>
              <w:t xml:space="preserve">in </w:t>
            </w:r>
            <w:proofErr w:type="spellStart"/>
            <w:r>
              <w:rPr>
                <w:rFonts w:ascii="Calibri" w:hAnsi="Calibri" w:cs="Calibri"/>
              </w:rPr>
              <w:t>R&amp;I</w:t>
            </w:r>
            <w:proofErr w:type="spellEnd"/>
            <w:r>
              <w:rPr>
                <w:rFonts w:ascii="Calibri" w:hAnsi="Calibri" w:cs="Calibri"/>
              </w:rPr>
              <w:t xml:space="preserve"> for the</w:t>
            </w:r>
            <w:r w:rsidRPr="00741738">
              <w:rPr>
                <w:rFonts w:ascii="Calibri" w:hAnsi="Calibri" w:cs="Calibri"/>
              </w:rPr>
              <w:t xml:space="preserve"> future of work</w:t>
            </w:r>
            <w:r>
              <w:rPr>
                <w:rFonts w:ascii="Calibri" w:hAnsi="Calibri" w:cs="Calibri"/>
              </w:rPr>
              <w:t>, based on the created evidence base and subsequent gap analysis (</w:t>
            </w:r>
            <w:r w:rsidRPr="00741738">
              <w:rPr>
                <w:rFonts w:ascii="Calibri" w:hAnsi="Calibri" w:cs="Calibri"/>
              </w:rPr>
              <w:t xml:space="preserve">at </w:t>
            </w:r>
            <w:r>
              <w:rPr>
                <w:rFonts w:ascii="Calibri" w:hAnsi="Calibri" w:cs="Calibri"/>
              </w:rPr>
              <w:t>national</w:t>
            </w:r>
            <w:r w:rsidRPr="00741738">
              <w:rPr>
                <w:rFonts w:ascii="Calibri" w:hAnsi="Calibri" w:cs="Calibri"/>
              </w:rPr>
              <w:t xml:space="preserve">, regional, local and EU levels, </w:t>
            </w:r>
            <w:r>
              <w:rPr>
                <w:rFonts w:ascii="Calibri" w:hAnsi="Calibri" w:cs="Calibri"/>
              </w:rPr>
              <w:t>involving social partners and, where appropriate covering</w:t>
            </w:r>
            <w:r w:rsidRPr="00741738">
              <w:rPr>
                <w:rFonts w:ascii="Calibri" w:hAnsi="Calibri" w:cs="Calibri"/>
              </w:rPr>
              <w:t xml:space="preserve"> transnational</w:t>
            </w:r>
            <w:r>
              <w:rPr>
                <w:rFonts w:ascii="Calibri" w:hAnsi="Calibri" w:cs="Calibri"/>
              </w:rPr>
              <w:t xml:space="preserve"> aspects</w:t>
            </w:r>
            <w:r w:rsidRPr="00741738">
              <w:rPr>
                <w:rFonts w:ascii="Calibri" w:hAnsi="Calibri" w:cs="Calibri"/>
              </w:rPr>
              <w:t xml:space="preserve">). </w:t>
            </w:r>
            <w:r>
              <w:rPr>
                <w:rFonts w:ascii="Calibri" w:hAnsi="Calibri" w:cs="Calibri"/>
              </w:rPr>
              <w:t xml:space="preserve">This policy dialogue would lead to a common understanding on future opportunities and challenges for employment in Europe and on priority areas for (joint) </w:t>
            </w:r>
            <w:proofErr w:type="spellStart"/>
            <w:r>
              <w:rPr>
                <w:rFonts w:ascii="Calibri" w:hAnsi="Calibri" w:cs="Calibri"/>
              </w:rPr>
              <w:t>R&amp;I</w:t>
            </w:r>
            <w:proofErr w:type="spellEnd"/>
            <w:r>
              <w:rPr>
                <w:rFonts w:ascii="Calibri" w:hAnsi="Calibri" w:cs="Calibri"/>
              </w:rPr>
              <w:t xml:space="preserve"> investment at EU or national level.</w:t>
            </w:r>
          </w:p>
          <w:p w14:paraId="43146AB8" w14:textId="77777777" w:rsidR="001977AC" w:rsidRPr="0055454C" w:rsidRDefault="001977AC" w:rsidP="007037E4">
            <w:pPr>
              <w:spacing w:after="120"/>
              <w:jc w:val="both"/>
              <w:rPr>
                <w:rFonts w:ascii="Calibri" w:hAnsi="Calibri" w:cs="Calibri"/>
                <w:u w:val="single"/>
              </w:rPr>
            </w:pPr>
            <w:r w:rsidRPr="0055454C">
              <w:rPr>
                <w:rFonts w:ascii="Calibri" w:hAnsi="Calibri" w:cs="Calibri"/>
                <w:b/>
                <w:color w:val="000000"/>
                <w:u w:val="single"/>
              </w:rPr>
              <w:t>Expected outputs</w:t>
            </w:r>
          </w:p>
          <w:p w14:paraId="014EE0D3" w14:textId="77777777" w:rsidR="001977AC" w:rsidRPr="00510CA7" w:rsidRDefault="001977AC" w:rsidP="001977AC">
            <w:pPr>
              <w:pStyle w:val="ListParagraph"/>
              <w:numPr>
                <w:ilvl w:val="0"/>
                <w:numId w:val="22"/>
              </w:numPr>
              <w:spacing w:after="120"/>
              <w:jc w:val="both"/>
              <w:rPr>
                <w:rStyle w:val="normaltextrun"/>
                <w:rFonts w:ascii="Calibri" w:hAnsi="Calibri" w:cs="Calibri"/>
                <w:i/>
              </w:rPr>
            </w:pPr>
            <w:r w:rsidRPr="00E52E7B">
              <w:rPr>
                <w:rStyle w:val="normaltextrun"/>
                <w:rFonts w:ascii="Calibri" w:hAnsi="Calibri" w:cs="Calibri"/>
                <w:b/>
                <w:color w:val="000000"/>
                <w:bdr w:val="none" w:sz="0" w:space="0" w:color="auto" w:frame="1"/>
                <w:lang w:val="en-IE"/>
              </w:rPr>
              <w:t>Strategic gap analysis</w:t>
            </w:r>
            <w:r>
              <w:rPr>
                <w:rStyle w:val="FootnoteReference"/>
                <w:rFonts w:ascii="Calibri" w:hAnsi="Calibri" w:cs="Calibri"/>
                <w:color w:val="000000"/>
                <w:bdr w:val="none" w:sz="0" w:space="0" w:color="auto" w:frame="1"/>
                <w:lang w:val="en-IE"/>
              </w:rPr>
              <w:footnoteReference w:id="9"/>
            </w:r>
            <w:r>
              <w:rPr>
                <w:rStyle w:val="normaltextrun"/>
                <w:rFonts w:ascii="Calibri" w:hAnsi="Calibri" w:cs="Calibri"/>
                <w:color w:val="000000"/>
                <w:bdr w:val="none" w:sz="0" w:space="0" w:color="auto" w:frame="1"/>
                <w:lang w:val="en-IE"/>
              </w:rPr>
              <w:t xml:space="preserve"> of the European </w:t>
            </w:r>
            <w:proofErr w:type="spellStart"/>
            <w:r>
              <w:rPr>
                <w:rStyle w:val="normaltextrun"/>
                <w:rFonts w:ascii="Calibri" w:hAnsi="Calibri" w:cs="Calibri"/>
                <w:color w:val="000000"/>
                <w:bdr w:val="none" w:sz="0" w:space="0" w:color="auto" w:frame="1"/>
                <w:lang w:val="en-IE"/>
              </w:rPr>
              <w:t>R&amp;I</w:t>
            </w:r>
            <w:proofErr w:type="spellEnd"/>
            <w:r>
              <w:rPr>
                <w:rStyle w:val="normaltextrun"/>
                <w:rFonts w:ascii="Calibri" w:hAnsi="Calibri" w:cs="Calibri"/>
                <w:color w:val="000000"/>
                <w:bdr w:val="none" w:sz="0" w:space="0" w:color="auto" w:frame="1"/>
                <w:lang w:val="en-IE"/>
              </w:rPr>
              <w:t xml:space="preserve"> landscape for EU priorities in the future of work domain. </w:t>
            </w:r>
          </w:p>
          <w:p w14:paraId="4A13B92C" w14:textId="77777777" w:rsidR="001977AC" w:rsidRPr="00541E98" w:rsidRDefault="001977AC" w:rsidP="001977AC">
            <w:pPr>
              <w:pStyle w:val="ListParagraph"/>
              <w:numPr>
                <w:ilvl w:val="0"/>
                <w:numId w:val="22"/>
              </w:numPr>
              <w:spacing w:after="120"/>
              <w:jc w:val="both"/>
              <w:rPr>
                <w:rFonts w:ascii="Calibri" w:hAnsi="Calibri" w:cs="Calibri"/>
                <w:i/>
              </w:rPr>
            </w:pPr>
            <w:r w:rsidRPr="008632E9">
              <w:rPr>
                <w:rFonts w:ascii="Calibri" w:hAnsi="Calibri" w:cs="Calibri"/>
                <w:b/>
                <w:color w:val="000000"/>
              </w:rPr>
              <w:t xml:space="preserve">Focused </w:t>
            </w:r>
            <w:r>
              <w:rPr>
                <w:rFonts w:ascii="Calibri" w:hAnsi="Calibri" w:cs="Calibri"/>
                <w:b/>
                <w:color w:val="000000"/>
              </w:rPr>
              <w:t>policy dialogue</w:t>
            </w:r>
            <w:r w:rsidRPr="008632E9">
              <w:rPr>
                <w:rFonts w:ascii="Calibri" w:hAnsi="Calibri" w:cs="Calibri"/>
                <w:b/>
                <w:color w:val="000000"/>
              </w:rPr>
              <w:t xml:space="preserve"> between EU Member States</w:t>
            </w:r>
            <w:r w:rsidRPr="006A78DA">
              <w:rPr>
                <w:rFonts w:ascii="Calibri" w:hAnsi="Calibri" w:cs="Calibri"/>
              </w:rPr>
              <w:t xml:space="preserve"> and national stakeholders, including social partners</w:t>
            </w:r>
            <w:r>
              <w:rPr>
                <w:rFonts w:ascii="Calibri" w:hAnsi="Calibri" w:cs="Calibri"/>
                <w:color w:val="000000"/>
              </w:rPr>
              <w:t>.</w:t>
            </w:r>
          </w:p>
          <w:p w14:paraId="71B3A180" w14:textId="77777777" w:rsidR="001977AC" w:rsidRDefault="001977AC" w:rsidP="001977AC">
            <w:pPr>
              <w:pStyle w:val="ListParagraph"/>
              <w:numPr>
                <w:ilvl w:val="0"/>
                <w:numId w:val="22"/>
              </w:numPr>
              <w:spacing w:after="120"/>
              <w:jc w:val="both"/>
              <w:rPr>
                <w:rFonts w:ascii="Calibri" w:hAnsi="Calibri" w:cs="Calibri"/>
              </w:rPr>
            </w:pPr>
            <w:r w:rsidRPr="0055454C">
              <w:rPr>
                <w:rFonts w:ascii="Calibri" w:hAnsi="Calibri" w:cs="Calibri"/>
                <w:b/>
              </w:rPr>
              <w:t>A Strategic Research and Innovation Agenda (</w:t>
            </w:r>
            <w:proofErr w:type="spellStart"/>
            <w:r w:rsidRPr="0055454C">
              <w:rPr>
                <w:rFonts w:ascii="Calibri" w:hAnsi="Calibri" w:cs="Calibri"/>
                <w:b/>
              </w:rPr>
              <w:t>SRIA</w:t>
            </w:r>
            <w:proofErr w:type="spellEnd"/>
            <w:r w:rsidRPr="0055454C">
              <w:rPr>
                <w:rFonts w:ascii="Calibri" w:hAnsi="Calibri" w:cs="Calibri"/>
                <w:b/>
              </w:rPr>
              <w:t>)</w:t>
            </w:r>
            <w:r w:rsidRPr="0055454C">
              <w:rPr>
                <w:rFonts w:ascii="Calibri" w:hAnsi="Calibri" w:cs="Calibri"/>
              </w:rPr>
              <w:t xml:space="preserve"> reflecting the outcome of this dialogue (description of the challenges identified, scope of </w:t>
            </w:r>
            <w:r>
              <w:rPr>
                <w:rFonts w:ascii="Calibri" w:hAnsi="Calibri" w:cs="Calibri"/>
              </w:rPr>
              <w:t xml:space="preserve">the </w:t>
            </w:r>
            <w:r w:rsidRPr="0055454C">
              <w:rPr>
                <w:rFonts w:ascii="Calibri" w:hAnsi="Calibri" w:cs="Calibri"/>
              </w:rPr>
              <w:t xml:space="preserve">dialogue, gaps identified, recommendations on key </w:t>
            </w:r>
            <w:proofErr w:type="spellStart"/>
            <w:r w:rsidRPr="0055454C">
              <w:rPr>
                <w:rFonts w:ascii="Calibri" w:hAnsi="Calibri" w:cs="Calibri"/>
              </w:rPr>
              <w:t>R&amp;I</w:t>
            </w:r>
            <w:proofErr w:type="spellEnd"/>
            <w:r w:rsidRPr="0055454C">
              <w:rPr>
                <w:rFonts w:ascii="Calibri" w:hAnsi="Calibri" w:cs="Calibri"/>
              </w:rPr>
              <w:t xml:space="preserve"> investment priorities for the </w:t>
            </w:r>
            <w:r>
              <w:rPr>
                <w:rFonts w:ascii="Calibri" w:hAnsi="Calibri" w:cs="Calibri"/>
              </w:rPr>
              <w:t>f</w:t>
            </w:r>
            <w:r w:rsidRPr="0055454C">
              <w:rPr>
                <w:rFonts w:ascii="Calibri" w:hAnsi="Calibri" w:cs="Calibri"/>
              </w:rPr>
              <w:t xml:space="preserve">uture of </w:t>
            </w:r>
            <w:r>
              <w:rPr>
                <w:rFonts w:ascii="Calibri" w:hAnsi="Calibri" w:cs="Calibri"/>
              </w:rPr>
              <w:t>w</w:t>
            </w:r>
            <w:r w:rsidRPr="0055454C">
              <w:rPr>
                <w:rFonts w:ascii="Calibri" w:hAnsi="Calibri" w:cs="Calibri"/>
              </w:rPr>
              <w:t xml:space="preserve">ork). The </w:t>
            </w:r>
            <w:proofErr w:type="spellStart"/>
            <w:r w:rsidRPr="0055454C">
              <w:rPr>
                <w:rFonts w:ascii="Calibri" w:hAnsi="Calibri" w:cs="Calibri"/>
              </w:rPr>
              <w:t>SRIA</w:t>
            </w:r>
            <w:proofErr w:type="spellEnd"/>
            <w:r w:rsidRPr="0055454C">
              <w:rPr>
                <w:rFonts w:ascii="Calibri" w:hAnsi="Calibri" w:cs="Calibri"/>
              </w:rPr>
              <w:t xml:space="preserve"> will be concise and specific enough to be consulted</w:t>
            </w:r>
            <w:r>
              <w:rPr>
                <w:rFonts w:ascii="Calibri" w:hAnsi="Calibri" w:cs="Calibri"/>
              </w:rPr>
              <w:t>,</w:t>
            </w:r>
            <w:r w:rsidRPr="0055454C">
              <w:rPr>
                <w:rFonts w:ascii="Calibri" w:hAnsi="Calibri" w:cs="Calibri"/>
              </w:rPr>
              <w:t xml:space="preserve"> adapted</w:t>
            </w:r>
            <w:r>
              <w:rPr>
                <w:rFonts w:ascii="Calibri" w:hAnsi="Calibri" w:cs="Calibri"/>
              </w:rPr>
              <w:t xml:space="preserve"> or used</w:t>
            </w:r>
            <w:r w:rsidRPr="0055454C">
              <w:rPr>
                <w:rFonts w:ascii="Calibri" w:hAnsi="Calibri" w:cs="Calibri"/>
              </w:rPr>
              <w:t xml:space="preserve"> voluntarily by interested </w:t>
            </w:r>
            <w:proofErr w:type="spellStart"/>
            <w:r w:rsidRPr="0055454C">
              <w:rPr>
                <w:rFonts w:ascii="Calibri" w:hAnsi="Calibri" w:cs="Calibri"/>
              </w:rPr>
              <w:t>R&amp;I</w:t>
            </w:r>
            <w:proofErr w:type="spellEnd"/>
            <w:r w:rsidRPr="0055454C">
              <w:rPr>
                <w:rFonts w:ascii="Calibri" w:hAnsi="Calibri" w:cs="Calibri"/>
              </w:rPr>
              <w:t xml:space="preserve"> policymakers at all levels. </w:t>
            </w:r>
          </w:p>
          <w:p w14:paraId="1347B2F9" w14:textId="77777777" w:rsidR="001977AC" w:rsidRPr="00DD6244" w:rsidRDefault="001977AC" w:rsidP="007037E4">
            <w:pPr>
              <w:spacing w:after="120"/>
              <w:jc w:val="both"/>
              <w:rPr>
                <w:rFonts w:ascii="Calibri" w:hAnsi="Calibri" w:cs="Calibri"/>
                <w:b/>
              </w:rPr>
            </w:pPr>
            <w:r w:rsidRPr="00DD6244">
              <w:rPr>
                <w:rFonts w:ascii="Calibri" w:hAnsi="Calibri" w:cs="Calibri"/>
                <w:b/>
              </w:rPr>
              <w:t>Proposed scope</w:t>
            </w:r>
          </w:p>
          <w:p w14:paraId="40A9BD85" w14:textId="77777777" w:rsidR="001977AC" w:rsidRDefault="001977AC" w:rsidP="007037E4">
            <w:pPr>
              <w:spacing w:after="120"/>
              <w:jc w:val="both"/>
              <w:rPr>
                <w:rFonts w:ascii="Calibri" w:hAnsi="Calibri" w:cs="Calibri"/>
              </w:rPr>
            </w:pPr>
            <w:r>
              <w:rPr>
                <w:rFonts w:ascii="Calibri" w:hAnsi="Calibri" w:cs="Calibri"/>
              </w:rPr>
              <w:t xml:space="preserve">To provide </w:t>
            </w:r>
            <w:proofErr w:type="spellStart"/>
            <w:r>
              <w:rPr>
                <w:rFonts w:ascii="Calibri" w:hAnsi="Calibri" w:cs="Calibri"/>
              </w:rPr>
              <w:t>ERA4FutureWork</w:t>
            </w:r>
            <w:proofErr w:type="spellEnd"/>
            <w:r>
              <w:rPr>
                <w:rFonts w:ascii="Calibri" w:hAnsi="Calibri" w:cs="Calibri"/>
              </w:rPr>
              <w:t xml:space="preserve"> stakeholders with an initial basis for discussion, the EC will initiate the dialogue on some key emerging challenges for EU business and workers for which the input of </w:t>
            </w:r>
            <w:proofErr w:type="spellStart"/>
            <w:r>
              <w:rPr>
                <w:rFonts w:ascii="Calibri" w:hAnsi="Calibri" w:cs="Calibri"/>
              </w:rPr>
              <w:t>R&amp;I</w:t>
            </w:r>
            <w:proofErr w:type="spellEnd"/>
            <w:r>
              <w:rPr>
                <w:rFonts w:ascii="Calibri" w:hAnsi="Calibri" w:cs="Calibri"/>
              </w:rPr>
              <w:t xml:space="preserve"> experts is highly needed:</w:t>
            </w:r>
          </w:p>
          <w:p w14:paraId="4AD86099" w14:textId="77777777" w:rsidR="001977AC" w:rsidRPr="005F4C5A" w:rsidRDefault="001977AC" w:rsidP="001977AC">
            <w:pPr>
              <w:pStyle w:val="ListParagraph"/>
              <w:numPr>
                <w:ilvl w:val="0"/>
                <w:numId w:val="31"/>
              </w:numPr>
              <w:spacing w:after="120"/>
              <w:jc w:val="both"/>
              <w:rPr>
                <w:rFonts w:ascii="Calibri" w:hAnsi="Calibri" w:cs="Calibri"/>
              </w:rPr>
            </w:pPr>
            <w:r w:rsidRPr="005F4C5A">
              <w:rPr>
                <w:rFonts w:ascii="Calibri" w:hAnsi="Calibri" w:cs="Calibri"/>
                <w:b/>
              </w:rPr>
              <w:t>Digital transition:</w:t>
            </w:r>
            <w:r w:rsidRPr="005F4C5A">
              <w:rPr>
                <w:rFonts w:ascii="Calibri" w:hAnsi="Calibri" w:cs="Calibri"/>
              </w:rPr>
              <w:t xml:space="preserve"> </w:t>
            </w:r>
            <w:r>
              <w:rPr>
                <w:rFonts w:ascii="Calibri" w:hAnsi="Calibri" w:cs="Calibri"/>
              </w:rPr>
              <w:t>Research aimed at improving the understanding of the o</w:t>
            </w:r>
            <w:r w:rsidRPr="001824C9">
              <w:rPr>
                <w:rFonts w:ascii="Calibri" w:hAnsi="Calibri" w:cs="Calibri"/>
              </w:rPr>
              <w:t xml:space="preserve">pportunities </w:t>
            </w:r>
            <w:r>
              <w:rPr>
                <w:rFonts w:ascii="Calibri" w:hAnsi="Calibri" w:cs="Calibri"/>
              </w:rPr>
              <w:t>and</w:t>
            </w:r>
            <w:r w:rsidRPr="001824C9">
              <w:rPr>
                <w:rFonts w:ascii="Calibri" w:hAnsi="Calibri" w:cs="Calibri"/>
              </w:rPr>
              <w:t xml:space="preserve"> risks of digital technologies for work organization (e.g. AI/algorithmic management).</w:t>
            </w:r>
          </w:p>
          <w:p w14:paraId="69FE99C8" w14:textId="77777777" w:rsidR="001977AC" w:rsidRDefault="001977AC" w:rsidP="001977AC">
            <w:pPr>
              <w:pStyle w:val="ListParagraph"/>
              <w:numPr>
                <w:ilvl w:val="0"/>
                <w:numId w:val="31"/>
              </w:numPr>
              <w:spacing w:after="120"/>
              <w:jc w:val="both"/>
              <w:rPr>
                <w:rFonts w:ascii="Calibri" w:hAnsi="Calibri" w:cs="Calibri"/>
              </w:rPr>
            </w:pPr>
            <w:r w:rsidRPr="005F4C5A">
              <w:rPr>
                <w:rFonts w:ascii="Calibri" w:hAnsi="Calibri" w:cs="Calibri"/>
                <w:b/>
              </w:rPr>
              <w:t>Green transition:</w:t>
            </w:r>
            <w:r w:rsidRPr="005F4C5A">
              <w:rPr>
                <w:rFonts w:ascii="Calibri" w:hAnsi="Calibri" w:cs="Calibri"/>
              </w:rPr>
              <w:t xml:space="preserve"> </w:t>
            </w:r>
            <w:r>
              <w:rPr>
                <w:rFonts w:ascii="Calibri" w:hAnsi="Calibri" w:cs="Calibri"/>
              </w:rPr>
              <w:t>Research which identifies the skill developments and qualifications needed to create h</w:t>
            </w:r>
            <w:r w:rsidRPr="001824C9">
              <w:rPr>
                <w:rFonts w:ascii="Calibri" w:hAnsi="Calibri" w:cs="Calibri"/>
              </w:rPr>
              <w:t>igh-quality green jobs in industry, construction, and the circular economy</w:t>
            </w:r>
            <w:r>
              <w:rPr>
                <w:rFonts w:ascii="Calibri" w:hAnsi="Calibri" w:cs="Calibri"/>
              </w:rPr>
              <w:t>, and which supports the design and promotion of i</w:t>
            </w:r>
            <w:r w:rsidRPr="001824C9">
              <w:rPr>
                <w:rFonts w:ascii="Calibri" w:hAnsi="Calibri" w:cs="Calibri"/>
              </w:rPr>
              <w:t xml:space="preserve">nnovative </w:t>
            </w:r>
            <w:r>
              <w:rPr>
                <w:rFonts w:ascii="Calibri" w:hAnsi="Calibri" w:cs="Calibri"/>
              </w:rPr>
              <w:t xml:space="preserve">ways to ensure </w:t>
            </w:r>
            <w:r w:rsidRPr="001824C9">
              <w:rPr>
                <w:rFonts w:ascii="Calibri" w:hAnsi="Calibri" w:cs="Calibri"/>
              </w:rPr>
              <w:t>job-to-job transitions.</w:t>
            </w:r>
          </w:p>
          <w:p w14:paraId="675E8371" w14:textId="77777777" w:rsidR="001977AC" w:rsidRDefault="001977AC" w:rsidP="001977AC">
            <w:pPr>
              <w:pStyle w:val="ListParagraph"/>
              <w:numPr>
                <w:ilvl w:val="0"/>
                <w:numId w:val="31"/>
              </w:numPr>
              <w:spacing w:after="120"/>
              <w:jc w:val="both"/>
              <w:rPr>
                <w:rFonts w:ascii="Calibri" w:hAnsi="Calibri" w:cs="Calibri"/>
              </w:rPr>
            </w:pPr>
            <w:r w:rsidRPr="001824C9">
              <w:rPr>
                <w:rFonts w:ascii="Calibri" w:hAnsi="Calibri" w:cs="Calibri"/>
                <w:b/>
                <w:bCs/>
                <w:lang w:val="en-IE"/>
              </w:rPr>
              <w:t>Transition analysis:</w:t>
            </w:r>
            <w:r>
              <w:rPr>
                <w:rFonts w:ascii="Calibri" w:hAnsi="Calibri" w:cs="Calibri"/>
                <w:lang w:val="en-IE"/>
              </w:rPr>
              <w:t xml:space="preserve"> Research that i</w:t>
            </w:r>
            <w:r w:rsidRPr="001824C9">
              <w:rPr>
                <w:rFonts w:ascii="Calibri" w:hAnsi="Calibri" w:cs="Calibri"/>
                <w:lang w:val="en-IE"/>
              </w:rPr>
              <w:t>dentif</w:t>
            </w:r>
            <w:r>
              <w:rPr>
                <w:rFonts w:ascii="Calibri" w:hAnsi="Calibri" w:cs="Calibri"/>
                <w:lang w:val="en-IE"/>
              </w:rPr>
              <w:t>ies</w:t>
            </w:r>
            <w:r w:rsidRPr="001824C9">
              <w:rPr>
                <w:rFonts w:ascii="Calibri" w:hAnsi="Calibri" w:cs="Calibri"/>
                <w:lang w:val="en-IE"/>
              </w:rPr>
              <w:t xml:space="preserve"> fundamental, lasting, and transformative post-pandemic changes in the nature of work (including new types of work, changes in the role and perception of work, work organisation, productivity and working conditions).</w:t>
            </w:r>
          </w:p>
          <w:p w14:paraId="2FE57492" w14:textId="77777777" w:rsidR="001977AC" w:rsidRPr="001824C9" w:rsidRDefault="001977AC" w:rsidP="007037E4">
            <w:pPr>
              <w:spacing w:after="120"/>
              <w:jc w:val="both"/>
              <w:rPr>
                <w:rFonts w:ascii="Calibri" w:hAnsi="Calibri" w:cs="Calibri"/>
                <w:b/>
                <w:bCs/>
              </w:rPr>
            </w:pPr>
            <w:r w:rsidRPr="001824C9">
              <w:rPr>
                <w:rFonts w:ascii="Calibri" w:hAnsi="Calibri" w:cs="Calibri"/>
                <w:b/>
                <w:bCs/>
              </w:rPr>
              <w:t>Member States w</w:t>
            </w:r>
            <w:r>
              <w:rPr>
                <w:rFonts w:ascii="Calibri" w:hAnsi="Calibri" w:cs="Calibri"/>
                <w:b/>
                <w:bCs/>
              </w:rPr>
              <w:t>ill</w:t>
            </w:r>
            <w:r w:rsidRPr="001824C9">
              <w:rPr>
                <w:rFonts w:ascii="Calibri" w:hAnsi="Calibri" w:cs="Calibri"/>
                <w:b/>
                <w:bCs/>
              </w:rPr>
              <w:t xml:space="preserve"> be able to propose their own priorities and shape the agenda as </w:t>
            </w:r>
            <w:r>
              <w:rPr>
                <w:rFonts w:ascii="Calibri" w:hAnsi="Calibri" w:cs="Calibri"/>
                <w:b/>
                <w:bCs/>
              </w:rPr>
              <w:t>soon as the action begins</w:t>
            </w:r>
            <w:r w:rsidRPr="001824C9">
              <w:rPr>
                <w:rFonts w:ascii="Calibri" w:hAnsi="Calibri" w:cs="Calibri"/>
                <w:b/>
                <w:bCs/>
              </w:rPr>
              <w:t>.</w:t>
            </w:r>
          </w:p>
          <w:p w14:paraId="10B5DBCF" w14:textId="77777777" w:rsidR="001977AC" w:rsidRDefault="001977AC" w:rsidP="007037E4">
            <w:pPr>
              <w:spacing w:after="120"/>
              <w:jc w:val="both"/>
              <w:rPr>
                <w:rFonts w:ascii="Calibri" w:hAnsi="Calibri" w:cs="Calibri"/>
              </w:rPr>
            </w:pPr>
            <w:r>
              <w:rPr>
                <w:rFonts w:ascii="Calibri" w:hAnsi="Calibri" w:cs="Calibri"/>
              </w:rPr>
              <w:t xml:space="preserve">To ensure that the action benefits from early input and scales up quickly, the EC plans to hold expert workshops on these priority areas (activity </w:t>
            </w:r>
            <w:proofErr w:type="spellStart"/>
            <w:r>
              <w:rPr>
                <w:rFonts w:ascii="Calibri" w:hAnsi="Calibri" w:cs="Calibri"/>
              </w:rPr>
              <w:t>1c</w:t>
            </w:r>
            <w:proofErr w:type="spellEnd"/>
            <w:r>
              <w:rPr>
                <w:rFonts w:ascii="Calibri" w:hAnsi="Calibri" w:cs="Calibri"/>
              </w:rPr>
              <w:t>) already before the action’s starting date (as of May 2022) and present intermediate results to the ERA Forum and stakeholders.</w:t>
            </w:r>
          </w:p>
          <w:p w14:paraId="2BBE54B7" w14:textId="77777777" w:rsidR="001977AC" w:rsidRPr="00D10F7D" w:rsidRDefault="001977AC" w:rsidP="007037E4">
            <w:pPr>
              <w:spacing w:after="120"/>
              <w:jc w:val="both"/>
              <w:rPr>
                <w:rFonts w:ascii="Calibri" w:hAnsi="Calibri" w:cs="Calibri"/>
              </w:rPr>
            </w:pPr>
            <w:r>
              <w:rPr>
                <w:rFonts w:ascii="Calibri" w:hAnsi="Calibri" w:cs="Calibri"/>
              </w:rPr>
              <w:t xml:space="preserve">Furthermore, the EC has already proposed to </w:t>
            </w:r>
            <w:hyperlink r:id="rId12" w:history="1">
              <w:proofErr w:type="spellStart"/>
              <w:r w:rsidRPr="005905BB">
                <w:rPr>
                  <w:rStyle w:val="Hyperlink"/>
                  <w:rFonts w:ascii="Calibri" w:hAnsi="Calibri" w:cs="Calibri"/>
                </w:rPr>
                <w:t>ESIR</w:t>
              </w:r>
              <w:proofErr w:type="spellEnd"/>
            </w:hyperlink>
            <w:r>
              <w:rPr>
                <w:rFonts w:ascii="Calibri" w:hAnsi="Calibri" w:cs="Calibri"/>
              </w:rPr>
              <w:t xml:space="preserve"> (</w:t>
            </w:r>
            <w:r w:rsidRPr="00BC3987">
              <w:rPr>
                <w:rFonts w:ascii="Calibri" w:hAnsi="Calibri" w:cs="Calibri"/>
              </w:rPr>
              <w:t>Expert group on the economic and societal impact of research and innovation</w:t>
            </w:r>
            <w:r>
              <w:rPr>
                <w:rFonts w:ascii="Calibri" w:hAnsi="Calibri" w:cs="Calibri"/>
              </w:rPr>
              <w:t xml:space="preserve">) to reflect on the above priorities and provide high level recommendations for an EU </w:t>
            </w:r>
            <w:proofErr w:type="spellStart"/>
            <w:r>
              <w:rPr>
                <w:rFonts w:ascii="Calibri" w:hAnsi="Calibri" w:cs="Calibri"/>
              </w:rPr>
              <w:t>R&amp;I</w:t>
            </w:r>
            <w:proofErr w:type="spellEnd"/>
            <w:r>
              <w:rPr>
                <w:rFonts w:ascii="Calibri" w:hAnsi="Calibri" w:cs="Calibri"/>
              </w:rPr>
              <w:t xml:space="preserve"> policy on the future of work, during its new mandate.</w:t>
            </w:r>
          </w:p>
          <w:p w14:paraId="3FC4B304" w14:textId="77777777" w:rsidR="001977AC" w:rsidRPr="0055454C" w:rsidRDefault="001977AC" w:rsidP="007037E4">
            <w:pPr>
              <w:spacing w:after="120"/>
              <w:jc w:val="both"/>
              <w:rPr>
                <w:rFonts w:ascii="Calibri" w:hAnsi="Calibri" w:cs="Calibri"/>
                <w:b/>
                <w:color w:val="000000"/>
              </w:rPr>
            </w:pPr>
            <w:r>
              <w:rPr>
                <w:rFonts w:ascii="Calibri" w:hAnsi="Calibri" w:cs="Calibri"/>
                <w:b/>
                <w:color w:val="000000"/>
              </w:rPr>
              <w:lastRenderedPageBreak/>
              <w:t xml:space="preserve">Based on these preparatory actions, </w:t>
            </w:r>
            <w:proofErr w:type="spellStart"/>
            <w:r>
              <w:rPr>
                <w:rFonts w:ascii="Calibri" w:hAnsi="Calibri" w:cs="Calibri"/>
                <w:b/>
                <w:color w:val="000000"/>
              </w:rPr>
              <w:t>ERA4FutureWork</w:t>
            </w:r>
            <w:proofErr w:type="spellEnd"/>
            <w:r w:rsidRPr="0055454C">
              <w:rPr>
                <w:rFonts w:ascii="Calibri" w:hAnsi="Calibri" w:cs="Calibri"/>
                <w:b/>
                <w:color w:val="000000"/>
              </w:rPr>
              <w:t xml:space="preserve"> will be ready for launch as soon as endorsed by an adequate number of Member States and Associated Countries.</w:t>
            </w:r>
          </w:p>
          <w:p w14:paraId="781485AE" w14:textId="77777777" w:rsidR="001977AC" w:rsidRPr="0055454C" w:rsidRDefault="001977AC" w:rsidP="007037E4">
            <w:pPr>
              <w:spacing w:after="120"/>
              <w:jc w:val="both"/>
              <w:rPr>
                <w:rFonts w:ascii="Calibri" w:hAnsi="Calibri" w:cs="Calibri"/>
                <w:b/>
                <w:color w:val="000000"/>
                <w:u w:val="single"/>
              </w:rPr>
            </w:pPr>
            <w:r w:rsidRPr="0055454C">
              <w:rPr>
                <w:rFonts w:ascii="Calibri" w:hAnsi="Calibri" w:cs="Calibri"/>
                <w:b/>
                <w:color w:val="000000"/>
                <w:u w:val="single"/>
              </w:rPr>
              <w:t>Synergies with other actions or policies (EU or national level)</w:t>
            </w:r>
          </w:p>
          <w:p w14:paraId="46594D43" w14:textId="77777777" w:rsidR="001977AC" w:rsidRDefault="001977AC" w:rsidP="007037E4">
            <w:pPr>
              <w:spacing w:after="120"/>
              <w:jc w:val="both"/>
              <w:rPr>
                <w:rFonts w:ascii="Calibri" w:hAnsi="Calibri" w:cs="Calibri"/>
                <w:color w:val="000000"/>
              </w:rPr>
            </w:pPr>
            <w:proofErr w:type="spellStart"/>
            <w:r>
              <w:rPr>
                <w:rFonts w:ascii="Calibri" w:hAnsi="Calibri" w:cs="Calibri"/>
                <w:color w:val="000000"/>
              </w:rPr>
              <w:t>ERA4FutureWork</w:t>
            </w:r>
            <w:proofErr w:type="spellEnd"/>
            <w:r>
              <w:rPr>
                <w:rFonts w:ascii="Calibri" w:hAnsi="Calibri" w:cs="Calibri"/>
                <w:color w:val="000000"/>
              </w:rPr>
              <w:t xml:space="preserve"> closely follows some important principles laid down in the </w:t>
            </w:r>
            <w:r w:rsidRPr="00993685">
              <w:rPr>
                <w:rFonts w:ascii="Calibri" w:hAnsi="Calibri" w:cs="Calibri"/>
                <w:color w:val="000000"/>
              </w:rPr>
              <w:t xml:space="preserve">Council Recommendations </w:t>
            </w:r>
            <w:r>
              <w:rPr>
                <w:rFonts w:ascii="Calibri" w:hAnsi="Calibri" w:cs="Calibri"/>
                <w:color w:val="000000"/>
              </w:rPr>
              <w:t>for a</w:t>
            </w:r>
            <w:r w:rsidRPr="00993685">
              <w:rPr>
                <w:rFonts w:ascii="Calibri" w:hAnsi="Calibri" w:cs="Calibri"/>
                <w:color w:val="000000"/>
              </w:rPr>
              <w:t xml:space="preserve"> </w:t>
            </w:r>
            <w:r w:rsidRPr="004E571C">
              <w:rPr>
                <w:rFonts w:ascii="Calibri" w:hAnsi="Calibri" w:cs="Calibri"/>
                <w:b/>
                <w:bCs/>
                <w:color w:val="000000"/>
              </w:rPr>
              <w:t xml:space="preserve">Pact for </w:t>
            </w:r>
            <w:proofErr w:type="spellStart"/>
            <w:r w:rsidRPr="004E571C">
              <w:rPr>
                <w:rFonts w:ascii="Calibri" w:hAnsi="Calibri" w:cs="Calibri"/>
                <w:b/>
                <w:bCs/>
                <w:color w:val="000000"/>
              </w:rPr>
              <w:t>R&amp;I</w:t>
            </w:r>
            <w:proofErr w:type="spellEnd"/>
            <w:r>
              <w:rPr>
                <w:rFonts w:ascii="Calibri" w:hAnsi="Calibri" w:cs="Calibri"/>
                <w:color w:val="000000"/>
              </w:rPr>
              <w:t xml:space="preserve"> and the </w:t>
            </w:r>
            <w:r w:rsidRPr="004E571C">
              <w:rPr>
                <w:rFonts w:ascii="Calibri" w:hAnsi="Calibri" w:cs="Calibri"/>
                <w:b/>
                <w:bCs/>
                <w:color w:val="000000"/>
              </w:rPr>
              <w:t>ERA Policy Agenda</w:t>
            </w:r>
            <w:r>
              <w:rPr>
                <w:rFonts w:ascii="Calibri" w:hAnsi="Calibri" w:cs="Calibri"/>
                <w:color w:val="000000"/>
              </w:rPr>
              <w:t xml:space="preserve">. It will contribute to the strengthening of </w:t>
            </w:r>
            <w:r w:rsidRPr="00993685">
              <w:rPr>
                <w:rFonts w:ascii="Calibri" w:hAnsi="Calibri" w:cs="Calibri"/>
                <w:color w:val="000000"/>
              </w:rPr>
              <w:t xml:space="preserve">evidence-informed policy making </w:t>
            </w:r>
            <w:r>
              <w:rPr>
                <w:rFonts w:ascii="Calibri" w:hAnsi="Calibri" w:cs="Calibri"/>
                <w:color w:val="000000"/>
              </w:rPr>
              <w:t>within</w:t>
            </w:r>
            <w:r w:rsidRPr="00993685">
              <w:rPr>
                <w:rFonts w:ascii="Calibri" w:hAnsi="Calibri" w:cs="Calibri"/>
                <w:color w:val="000000"/>
              </w:rPr>
              <w:t xml:space="preserve"> ERA and </w:t>
            </w:r>
            <w:r>
              <w:rPr>
                <w:rFonts w:ascii="Calibri" w:hAnsi="Calibri" w:cs="Calibri"/>
                <w:color w:val="000000"/>
              </w:rPr>
              <w:t>to strengthening</w:t>
            </w:r>
            <w:r w:rsidRPr="00993685">
              <w:rPr>
                <w:rFonts w:ascii="Calibri" w:hAnsi="Calibri" w:cs="Calibri"/>
                <w:color w:val="000000"/>
              </w:rPr>
              <w:t xml:space="preserve"> policy dialogues with </w:t>
            </w:r>
            <w:r>
              <w:rPr>
                <w:rFonts w:ascii="Calibri" w:hAnsi="Calibri" w:cs="Calibri"/>
                <w:color w:val="000000"/>
              </w:rPr>
              <w:t>and between</w:t>
            </w:r>
            <w:r w:rsidRPr="00993685">
              <w:rPr>
                <w:rFonts w:ascii="Calibri" w:hAnsi="Calibri" w:cs="Calibri"/>
                <w:color w:val="000000"/>
              </w:rPr>
              <w:t xml:space="preserve"> Member States</w:t>
            </w:r>
            <w:r>
              <w:rPr>
                <w:rFonts w:ascii="Calibri" w:hAnsi="Calibri" w:cs="Calibri"/>
                <w:color w:val="000000"/>
              </w:rPr>
              <w:t xml:space="preserve">. It will increase the </w:t>
            </w:r>
            <w:r w:rsidRPr="00993685">
              <w:rPr>
                <w:rFonts w:ascii="Calibri" w:hAnsi="Calibri" w:cs="Calibri"/>
                <w:color w:val="000000"/>
              </w:rPr>
              <w:t xml:space="preserve">sharing </w:t>
            </w:r>
            <w:r>
              <w:rPr>
                <w:rFonts w:ascii="Calibri" w:hAnsi="Calibri" w:cs="Calibri"/>
                <w:color w:val="000000"/>
              </w:rPr>
              <w:t xml:space="preserve">of </w:t>
            </w:r>
            <w:r w:rsidRPr="00993685">
              <w:rPr>
                <w:rFonts w:ascii="Calibri" w:hAnsi="Calibri" w:cs="Calibri"/>
                <w:color w:val="000000"/>
              </w:rPr>
              <w:t xml:space="preserve">information </w:t>
            </w:r>
            <w:r>
              <w:rPr>
                <w:rFonts w:ascii="Calibri" w:hAnsi="Calibri" w:cs="Calibri"/>
                <w:color w:val="000000"/>
              </w:rPr>
              <w:t>about</w:t>
            </w:r>
            <w:r w:rsidRPr="00993685">
              <w:rPr>
                <w:rFonts w:ascii="Calibri" w:hAnsi="Calibri" w:cs="Calibri"/>
                <w:color w:val="000000"/>
              </w:rPr>
              <w:t xml:space="preserve"> </w:t>
            </w:r>
            <w:r>
              <w:rPr>
                <w:rFonts w:ascii="Calibri" w:hAnsi="Calibri" w:cs="Calibri"/>
                <w:color w:val="000000"/>
              </w:rPr>
              <w:t xml:space="preserve">the </w:t>
            </w:r>
            <w:r w:rsidRPr="00993685">
              <w:rPr>
                <w:rFonts w:ascii="Calibri" w:hAnsi="Calibri" w:cs="Calibri"/>
                <w:color w:val="000000"/>
              </w:rPr>
              <w:t xml:space="preserve">implementation </w:t>
            </w:r>
            <w:r>
              <w:rPr>
                <w:rFonts w:ascii="Calibri" w:hAnsi="Calibri" w:cs="Calibri"/>
                <w:color w:val="000000"/>
              </w:rPr>
              <w:t>research, policies and</w:t>
            </w:r>
            <w:r w:rsidRPr="00993685">
              <w:rPr>
                <w:rFonts w:ascii="Calibri" w:hAnsi="Calibri" w:cs="Calibri"/>
                <w:color w:val="000000"/>
              </w:rPr>
              <w:t xml:space="preserve"> investments</w:t>
            </w:r>
            <w:r>
              <w:rPr>
                <w:rFonts w:ascii="Calibri" w:hAnsi="Calibri" w:cs="Calibri"/>
                <w:color w:val="000000"/>
              </w:rPr>
              <w:t xml:space="preserve"> in areas key to the</w:t>
            </w:r>
            <w:r w:rsidRPr="00993685">
              <w:rPr>
                <w:rFonts w:ascii="Calibri" w:hAnsi="Calibri" w:cs="Calibri"/>
                <w:color w:val="000000"/>
              </w:rPr>
              <w:t xml:space="preserve"> ERA priorities</w:t>
            </w:r>
            <w:r>
              <w:rPr>
                <w:rFonts w:ascii="Calibri" w:hAnsi="Calibri" w:cs="Calibri"/>
                <w:color w:val="000000"/>
              </w:rPr>
              <w:t>, notably the digital and green transitions.</w:t>
            </w:r>
          </w:p>
          <w:p w14:paraId="6AF5D04A" w14:textId="77777777" w:rsidR="001977AC" w:rsidRDefault="001977AC" w:rsidP="007037E4">
            <w:pPr>
              <w:spacing w:after="120"/>
              <w:jc w:val="both"/>
              <w:rPr>
                <w:rFonts w:ascii="Calibri" w:hAnsi="Calibri" w:cs="Calibri"/>
                <w:color w:val="000000"/>
              </w:rPr>
            </w:pPr>
            <w:proofErr w:type="spellStart"/>
            <w:r>
              <w:rPr>
                <w:rFonts w:ascii="Calibri" w:hAnsi="Calibri" w:cs="Calibri"/>
                <w:color w:val="000000"/>
              </w:rPr>
              <w:t>ERA4FutureWork</w:t>
            </w:r>
            <w:proofErr w:type="spellEnd"/>
            <w:r>
              <w:rPr>
                <w:rFonts w:ascii="Calibri" w:hAnsi="Calibri" w:cs="Calibri"/>
                <w:color w:val="000000"/>
              </w:rPr>
              <w:t xml:space="preserve"> activities will also be relevant to all chapters of the</w:t>
            </w:r>
            <w:r w:rsidRPr="00E52E7B">
              <w:rPr>
                <w:rFonts w:ascii="Calibri" w:hAnsi="Calibri" w:cs="Calibri"/>
                <w:color w:val="000000"/>
              </w:rPr>
              <w:t xml:space="preserve"> </w:t>
            </w:r>
            <w:r w:rsidRPr="004E571C">
              <w:rPr>
                <w:rFonts w:ascii="Calibri" w:hAnsi="Calibri" w:cs="Calibri"/>
                <w:b/>
                <w:bCs/>
                <w:color w:val="000000"/>
              </w:rPr>
              <w:t>European Pillar of Social Rights</w:t>
            </w:r>
            <w:r>
              <w:rPr>
                <w:rStyle w:val="FootnoteReference"/>
                <w:rFonts w:ascii="Calibri" w:hAnsi="Calibri" w:cs="Calibri"/>
                <w:color w:val="000000"/>
              </w:rPr>
              <w:footnoteReference w:id="10"/>
            </w:r>
            <w:r w:rsidRPr="00E52E7B">
              <w:rPr>
                <w:rFonts w:ascii="Calibri" w:hAnsi="Calibri" w:cs="Calibri"/>
                <w:color w:val="000000"/>
              </w:rPr>
              <w:t xml:space="preserve"> </w:t>
            </w:r>
            <w:r>
              <w:rPr>
                <w:rFonts w:ascii="Calibri" w:hAnsi="Calibri" w:cs="Calibri"/>
                <w:color w:val="000000"/>
              </w:rPr>
              <w:t>(</w:t>
            </w:r>
            <w:proofErr w:type="spellStart"/>
            <w:r>
              <w:rPr>
                <w:rFonts w:ascii="Calibri" w:hAnsi="Calibri" w:cs="Calibri"/>
                <w:color w:val="000000"/>
              </w:rPr>
              <w:t>EPSR</w:t>
            </w:r>
            <w:proofErr w:type="spellEnd"/>
            <w:r>
              <w:rPr>
                <w:rFonts w:ascii="Calibri" w:hAnsi="Calibri" w:cs="Calibri"/>
                <w:color w:val="000000"/>
              </w:rPr>
              <w:t xml:space="preserve">) and develop synergies with actions foreseen in the </w:t>
            </w:r>
            <w:proofErr w:type="spellStart"/>
            <w:r>
              <w:rPr>
                <w:rFonts w:ascii="Calibri" w:hAnsi="Calibri" w:cs="Calibri"/>
                <w:color w:val="000000"/>
              </w:rPr>
              <w:t>EPSR</w:t>
            </w:r>
            <w:proofErr w:type="spellEnd"/>
            <w:r>
              <w:rPr>
                <w:rFonts w:ascii="Calibri" w:hAnsi="Calibri" w:cs="Calibri"/>
                <w:color w:val="000000"/>
              </w:rPr>
              <w:t xml:space="preserve"> Action Plan</w:t>
            </w:r>
            <w:r>
              <w:rPr>
                <w:rStyle w:val="FootnoteReference"/>
                <w:rFonts w:ascii="Calibri" w:hAnsi="Calibri" w:cs="Calibri"/>
                <w:color w:val="000000"/>
              </w:rPr>
              <w:footnoteReference w:id="11"/>
            </w:r>
            <w:r>
              <w:rPr>
                <w:rFonts w:ascii="Calibri" w:hAnsi="Calibri" w:cs="Calibri"/>
                <w:color w:val="000000"/>
              </w:rPr>
              <w:t xml:space="preserve"> (ranging from access to the labour market to health and </w:t>
            </w:r>
            <w:r w:rsidRPr="00E52E7B">
              <w:rPr>
                <w:rFonts w:ascii="Calibri" w:hAnsi="Calibri" w:cs="Calibri"/>
                <w:color w:val="000000"/>
              </w:rPr>
              <w:t xml:space="preserve">mental </w:t>
            </w:r>
            <w:r>
              <w:rPr>
                <w:rFonts w:ascii="Calibri" w:hAnsi="Calibri" w:cs="Calibri"/>
                <w:color w:val="000000"/>
              </w:rPr>
              <w:t>well-being</w:t>
            </w:r>
            <w:r w:rsidRPr="00E52E7B">
              <w:rPr>
                <w:rFonts w:ascii="Calibri" w:hAnsi="Calibri" w:cs="Calibri"/>
                <w:color w:val="000000"/>
              </w:rPr>
              <w:t xml:space="preserve"> in the workplace</w:t>
            </w:r>
            <w:r>
              <w:rPr>
                <w:rFonts w:ascii="Calibri" w:hAnsi="Calibri" w:cs="Calibri"/>
                <w:color w:val="000000"/>
              </w:rPr>
              <w:t>).</w:t>
            </w:r>
          </w:p>
          <w:p w14:paraId="734495A0" w14:textId="77777777" w:rsidR="001977AC" w:rsidRDefault="001977AC" w:rsidP="007037E4">
            <w:pPr>
              <w:spacing w:after="120"/>
              <w:jc w:val="both"/>
              <w:rPr>
                <w:rFonts w:ascii="Calibri" w:hAnsi="Calibri" w:cs="Calibri"/>
                <w:color w:val="000000"/>
              </w:rPr>
            </w:pPr>
            <w:r>
              <w:rPr>
                <w:rFonts w:ascii="Calibri" w:hAnsi="Calibri" w:cs="Calibri"/>
                <w:color w:val="000000"/>
              </w:rPr>
              <w:t xml:space="preserve">This sub-action also builds on the </w:t>
            </w:r>
            <w:r w:rsidRPr="004E571C">
              <w:rPr>
                <w:rFonts w:ascii="Calibri" w:hAnsi="Calibri" w:cs="Calibri"/>
                <w:b/>
                <w:bCs/>
                <w:color w:val="000000"/>
              </w:rPr>
              <w:t>Horizon Europe Strategic Plan 2021-24</w:t>
            </w:r>
            <w:r>
              <w:rPr>
                <w:rFonts w:ascii="Calibri" w:hAnsi="Calibri" w:cs="Calibri"/>
                <w:color w:val="000000"/>
              </w:rPr>
              <w:t xml:space="preserve">, particularly on the Key Strategic Orientations of Cluster 2 (e.g. </w:t>
            </w:r>
            <w:r w:rsidRPr="009C6CE2">
              <w:rPr>
                <w:rFonts w:ascii="Calibri" w:hAnsi="Calibri" w:cs="Calibri"/>
                <w:color w:val="000000"/>
              </w:rPr>
              <w:t>K</w:t>
            </w:r>
            <w:r>
              <w:rPr>
                <w:rFonts w:ascii="Calibri" w:hAnsi="Calibri" w:cs="Calibri"/>
                <w:color w:val="000000"/>
              </w:rPr>
              <w:t xml:space="preserve">ey </w:t>
            </w:r>
            <w:r w:rsidRPr="009C6CE2">
              <w:rPr>
                <w:rFonts w:ascii="Calibri" w:hAnsi="Calibri" w:cs="Calibri"/>
                <w:color w:val="000000"/>
              </w:rPr>
              <w:t>S</w:t>
            </w:r>
            <w:r>
              <w:rPr>
                <w:rFonts w:ascii="Calibri" w:hAnsi="Calibri" w:cs="Calibri"/>
                <w:color w:val="000000"/>
              </w:rPr>
              <w:t xml:space="preserve">trategic </w:t>
            </w:r>
            <w:r w:rsidRPr="009C6CE2">
              <w:rPr>
                <w:rFonts w:ascii="Calibri" w:hAnsi="Calibri" w:cs="Calibri"/>
                <w:color w:val="000000"/>
              </w:rPr>
              <w:t>O</w:t>
            </w:r>
            <w:r>
              <w:rPr>
                <w:rFonts w:ascii="Calibri" w:hAnsi="Calibri" w:cs="Calibri"/>
                <w:color w:val="000000"/>
              </w:rPr>
              <w:t>bjective</w:t>
            </w:r>
            <w:r w:rsidRPr="009C6CE2">
              <w:rPr>
                <w:rFonts w:ascii="Calibri" w:hAnsi="Calibri" w:cs="Calibri"/>
                <w:color w:val="000000"/>
              </w:rPr>
              <w:t xml:space="preserve"> D: </w:t>
            </w:r>
            <w:r>
              <w:rPr>
                <w:rFonts w:ascii="Calibri" w:hAnsi="Calibri" w:cs="Calibri"/>
                <w:color w:val="000000"/>
              </w:rPr>
              <w:t>"</w:t>
            </w:r>
            <w:r w:rsidRPr="009C6CE2">
              <w:rPr>
                <w:rFonts w:ascii="Calibri" w:hAnsi="Calibri" w:cs="Calibri"/>
                <w:color w:val="000000"/>
              </w:rPr>
              <w:t>Creating a more resilient,</w:t>
            </w:r>
            <w:r>
              <w:rPr>
                <w:rFonts w:ascii="Calibri" w:hAnsi="Calibri" w:cs="Calibri"/>
                <w:color w:val="000000"/>
              </w:rPr>
              <w:t xml:space="preserve"> </w:t>
            </w:r>
            <w:r w:rsidRPr="009C6CE2">
              <w:rPr>
                <w:rFonts w:ascii="Calibri" w:hAnsi="Calibri" w:cs="Calibri"/>
                <w:color w:val="000000"/>
              </w:rPr>
              <w:t>inclusive and democratic</w:t>
            </w:r>
            <w:r>
              <w:rPr>
                <w:rFonts w:ascii="Calibri" w:hAnsi="Calibri" w:cs="Calibri"/>
                <w:color w:val="000000"/>
              </w:rPr>
              <w:t xml:space="preserve"> </w:t>
            </w:r>
            <w:r w:rsidRPr="009C6CE2">
              <w:rPr>
                <w:rFonts w:ascii="Calibri" w:hAnsi="Calibri" w:cs="Calibri"/>
                <w:color w:val="000000"/>
              </w:rPr>
              <w:t>European society</w:t>
            </w:r>
            <w:r>
              <w:rPr>
                <w:rFonts w:ascii="Calibri" w:hAnsi="Calibri" w:cs="Calibri"/>
                <w:color w:val="000000"/>
              </w:rPr>
              <w:t xml:space="preserve"> - </w:t>
            </w:r>
            <w:r w:rsidRPr="009C6CE2">
              <w:rPr>
                <w:rFonts w:ascii="Calibri" w:hAnsi="Calibri" w:cs="Calibri"/>
                <w:color w:val="000000"/>
              </w:rPr>
              <w:t>Inclusive growth and new job</w:t>
            </w:r>
            <w:r>
              <w:rPr>
                <w:rFonts w:ascii="Calibri" w:hAnsi="Calibri" w:cs="Calibri"/>
                <w:color w:val="000000"/>
              </w:rPr>
              <w:t xml:space="preserve"> </w:t>
            </w:r>
            <w:r w:rsidRPr="009C6CE2">
              <w:rPr>
                <w:rFonts w:ascii="Calibri" w:hAnsi="Calibri" w:cs="Calibri"/>
                <w:color w:val="000000"/>
              </w:rPr>
              <w:t>opportunities</w:t>
            </w:r>
            <w:r>
              <w:rPr>
                <w:rFonts w:ascii="Calibri" w:hAnsi="Calibri" w:cs="Calibri"/>
                <w:color w:val="000000"/>
              </w:rPr>
              <w:t>")</w:t>
            </w:r>
            <w:r>
              <w:rPr>
                <w:rStyle w:val="FootnoteReference"/>
                <w:rFonts w:ascii="Calibri" w:hAnsi="Calibri" w:cs="Calibri"/>
                <w:color w:val="000000"/>
              </w:rPr>
              <w:footnoteReference w:id="12"/>
            </w:r>
            <w:r>
              <w:rPr>
                <w:rFonts w:ascii="Calibri" w:hAnsi="Calibri" w:cs="Calibri"/>
                <w:color w:val="000000"/>
              </w:rPr>
              <w:t>.</w:t>
            </w:r>
          </w:p>
          <w:p w14:paraId="292D06F3" w14:textId="77777777" w:rsidR="001977AC" w:rsidRDefault="001977AC" w:rsidP="007037E4">
            <w:pPr>
              <w:spacing w:after="120"/>
              <w:jc w:val="both"/>
              <w:rPr>
                <w:rFonts w:ascii="Calibri" w:hAnsi="Calibri" w:cs="Calibri"/>
                <w:color w:val="000000"/>
              </w:rPr>
            </w:pPr>
            <w:r w:rsidRPr="00E52E7B">
              <w:rPr>
                <w:rFonts w:ascii="Calibri" w:hAnsi="Calibri" w:cs="Calibri"/>
                <w:color w:val="000000"/>
              </w:rPr>
              <w:t xml:space="preserve">In the context of the </w:t>
            </w:r>
            <w:r>
              <w:rPr>
                <w:rFonts w:ascii="Calibri" w:hAnsi="Calibri" w:cs="Calibri"/>
                <w:color w:val="000000"/>
              </w:rPr>
              <w:t xml:space="preserve">European </w:t>
            </w:r>
            <w:r w:rsidRPr="00E52E7B">
              <w:rPr>
                <w:rFonts w:ascii="Calibri" w:hAnsi="Calibri" w:cs="Calibri"/>
                <w:color w:val="000000"/>
              </w:rPr>
              <w:t>Year of Youth</w:t>
            </w:r>
            <w:r>
              <w:rPr>
                <w:rFonts w:ascii="Calibri" w:hAnsi="Calibri" w:cs="Calibri"/>
                <w:color w:val="000000"/>
              </w:rPr>
              <w:t xml:space="preserve"> 2022</w:t>
            </w:r>
            <w:r w:rsidRPr="00E52E7B">
              <w:rPr>
                <w:rFonts w:ascii="Calibri" w:hAnsi="Calibri" w:cs="Calibri"/>
                <w:color w:val="000000"/>
              </w:rPr>
              <w:t xml:space="preserve">, special attention </w:t>
            </w:r>
            <w:r>
              <w:rPr>
                <w:rFonts w:ascii="Calibri" w:hAnsi="Calibri" w:cs="Calibri"/>
                <w:color w:val="000000"/>
              </w:rPr>
              <w:t xml:space="preserve">will be given to </w:t>
            </w:r>
            <w:r w:rsidRPr="00E52E7B">
              <w:rPr>
                <w:rFonts w:ascii="Calibri" w:hAnsi="Calibri" w:cs="Calibri"/>
                <w:color w:val="000000"/>
              </w:rPr>
              <w:t xml:space="preserve">young </w:t>
            </w:r>
            <w:r>
              <w:rPr>
                <w:rFonts w:ascii="Calibri" w:hAnsi="Calibri" w:cs="Calibri"/>
                <w:color w:val="000000"/>
              </w:rPr>
              <w:t>people's expectations for</w:t>
            </w:r>
            <w:r w:rsidRPr="00E52E7B">
              <w:rPr>
                <w:rFonts w:ascii="Calibri" w:hAnsi="Calibri" w:cs="Calibri"/>
                <w:color w:val="000000"/>
              </w:rPr>
              <w:t xml:space="preserve"> the</w:t>
            </w:r>
            <w:r>
              <w:rPr>
                <w:rFonts w:ascii="Calibri" w:hAnsi="Calibri" w:cs="Calibri"/>
                <w:color w:val="000000"/>
              </w:rPr>
              <w:t>ir</w:t>
            </w:r>
            <w:r w:rsidRPr="00E52E7B">
              <w:rPr>
                <w:rFonts w:ascii="Calibri" w:hAnsi="Calibri" w:cs="Calibri"/>
                <w:color w:val="000000"/>
              </w:rPr>
              <w:t xml:space="preserve"> future work.</w:t>
            </w:r>
          </w:p>
          <w:p w14:paraId="3F705A70" w14:textId="77777777" w:rsidR="001977AC" w:rsidRPr="00E52E7B" w:rsidRDefault="001977AC" w:rsidP="007037E4">
            <w:pPr>
              <w:spacing w:after="120"/>
              <w:jc w:val="both"/>
              <w:rPr>
                <w:rFonts w:ascii="Calibri" w:hAnsi="Calibri" w:cs="Calibri"/>
                <w:i/>
              </w:rPr>
            </w:pPr>
            <w:r>
              <w:rPr>
                <w:rFonts w:ascii="Calibri" w:hAnsi="Calibri" w:cs="Calibri"/>
                <w:color w:val="000000"/>
              </w:rPr>
              <w:t xml:space="preserve">Depending on the evidence produced and the outcomes of the policy dialogue, further synergies with national or EU policies (e.g. the European Skills Agenda, the European Social Fund/Just Transition Fund, Europe’s Digital Decade, </w:t>
            </w:r>
            <w:proofErr w:type="spellStart"/>
            <w:r>
              <w:rPr>
                <w:rFonts w:ascii="Calibri" w:hAnsi="Calibri" w:cs="Calibri"/>
                <w:color w:val="000000"/>
              </w:rPr>
              <w:t>ESF</w:t>
            </w:r>
            <w:proofErr w:type="spellEnd"/>
            <w:r>
              <w:rPr>
                <w:rFonts w:ascii="Calibri" w:hAnsi="Calibri" w:cs="Calibri"/>
                <w:color w:val="000000"/>
              </w:rPr>
              <w:t xml:space="preserve">+ or other EU structural funds) may be explored. </w:t>
            </w:r>
          </w:p>
        </w:tc>
      </w:tr>
      <w:tr w:rsidR="001977AC" w14:paraId="71B89362" w14:textId="77777777" w:rsidTr="001977AC">
        <w:tc>
          <w:tcPr>
            <w:tcW w:w="2410" w:type="dxa"/>
          </w:tcPr>
          <w:p w14:paraId="44D596FB" w14:textId="77777777" w:rsidR="001977AC" w:rsidRPr="005A2F61" w:rsidRDefault="001977AC" w:rsidP="001977AC">
            <w:pPr>
              <w:pStyle w:val="ListParagraph"/>
              <w:numPr>
                <w:ilvl w:val="0"/>
                <w:numId w:val="10"/>
              </w:numPr>
              <w:spacing w:before="120" w:after="120"/>
              <w:rPr>
                <w:b/>
              </w:rPr>
            </w:pPr>
            <w:r w:rsidRPr="005A2F61">
              <w:rPr>
                <w:b/>
              </w:rPr>
              <w:lastRenderedPageBreak/>
              <w:t>Actors</w:t>
            </w:r>
          </w:p>
        </w:tc>
        <w:tc>
          <w:tcPr>
            <w:tcW w:w="8364" w:type="dxa"/>
          </w:tcPr>
          <w:p w14:paraId="510DE61C" w14:textId="77777777" w:rsidR="001977AC" w:rsidRPr="00631B42" w:rsidRDefault="001977AC" w:rsidP="007037E4">
            <w:pPr>
              <w:spacing w:after="120"/>
              <w:jc w:val="both"/>
              <w:rPr>
                <w:rFonts w:ascii="Calibri" w:hAnsi="Calibri" w:cs="Calibri"/>
                <w:lang w:val="en-IE"/>
              </w:rPr>
            </w:pPr>
            <w:r w:rsidRPr="00631B42">
              <w:rPr>
                <w:rFonts w:ascii="Calibri" w:hAnsi="Calibri" w:cs="Calibri"/>
                <w:lang w:val="en-IE"/>
              </w:rPr>
              <w:t xml:space="preserve">The Commission (DG </w:t>
            </w:r>
            <w:proofErr w:type="spellStart"/>
            <w:r w:rsidRPr="00631B42">
              <w:rPr>
                <w:rFonts w:ascii="Calibri" w:hAnsi="Calibri" w:cs="Calibri"/>
                <w:lang w:val="en-IE"/>
              </w:rPr>
              <w:t>R&amp;I</w:t>
            </w:r>
            <w:proofErr w:type="spellEnd"/>
            <w:r w:rsidRPr="00631B42">
              <w:rPr>
                <w:rFonts w:ascii="Calibri" w:hAnsi="Calibri" w:cs="Calibri"/>
                <w:lang w:val="en-IE"/>
              </w:rPr>
              <w:t xml:space="preserve"> &amp; DG EMPL) will implement this sub-action. Complementary activities for Member States, associated countries or stakeholders could be organised or aligned to </w:t>
            </w:r>
            <w:proofErr w:type="spellStart"/>
            <w:r w:rsidRPr="00631B42">
              <w:rPr>
                <w:rFonts w:ascii="Calibri" w:hAnsi="Calibri" w:cs="Calibri"/>
                <w:lang w:val="en-IE"/>
              </w:rPr>
              <w:t>ERA4FutureWork</w:t>
            </w:r>
            <w:proofErr w:type="spellEnd"/>
            <w:r w:rsidRPr="00631B42">
              <w:rPr>
                <w:rFonts w:ascii="Calibri" w:hAnsi="Calibri" w:cs="Calibri"/>
                <w:lang w:val="en-IE"/>
              </w:rPr>
              <w:t xml:space="preserve">, on a voluntary basis. Preparation and activities will be </w:t>
            </w:r>
            <w:r>
              <w:rPr>
                <w:rFonts w:ascii="Calibri" w:hAnsi="Calibri" w:cs="Calibri"/>
                <w:lang w:val="en-IE"/>
              </w:rPr>
              <w:t>informed by</w:t>
            </w:r>
            <w:r w:rsidRPr="00631B42">
              <w:rPr>
                <w:rFonts w:ascii="Calibri" w:hAnsi="Calibri" w:cs="Calibri"/>
                <w:lang w:val="en-IE"/>
              </w:rPr>
              <w:t xml:space="preserve"> the priorities of the Council Presidencies for 2022-2024 (respectively held by France, Czech Republic, Sweden, Spain, Belgium, and Hungary).</w:t>
            </w:r>
          </w:p>
          <w:p w14:paraId="1D41B297" w14:textId="77777777" w:rsidR="001977AC" w:rsidRPr="00631B42" w:rsidRDefault="001977AC" w:rsidP="007037E4">
            <w:pPr>
              <w:spacing w:after="120"/>
              <w:jc w:val="both"/>
              <w:rPr>
                <w:rFonts w:ascii="Calibri" w:hAnsi="Calibri" w:cs="Calibri"/>
                <w:lang w:val="en-IE"/>
              </w:rPr>
            </w:pPr>
            <w:r w:rsidRPr="00631B42">
              <w:rPr>
                <w:rFonts w:ascii="Calibri" w:hAnsi="Calibri" w:cs="Calibri"/>
                <w:lang w:val="en-IE"/>
              </w:rPr>
              <w:t xml:space="preserve">To ensure a solid evidence base and wide consensus, the Policy Dialogue </w:t>
            </w:r>
            <w:r>
              <w:rPr>
                <w:rFonts w:ascii="Calibri" w:hAnsi="Calibri" w:cs="Calibri"/>
                <w:lang w:val="en-IE"/>
              </w:rPr>
              <w:t>aims to invite</w:t>
            </w:r>
            <w:r w:rsidRPr="00631B42">
              <w:rPr>
                <w:rFonts w:ascii="Calibri" w:hAnsi="Calibri" w:cs="Calibri"/>
                <w:lang w:val="en-IE"/>
              </w:rPr>
              <w:t xml:space="preserve"> the following actors from Member States and associated countries:</w:t>
            </w:r>
          </w:p>
          <w:p w14:paraId="7C6D0C57" w14:textId="77777777" w:rsidR="001977AC" w:rsidRDefault="001977AC" w:rsidP="001977AC">
            <w:pPr>
              <w:pStyle w:val="ListParagraph"/>
              <w:numPr>
                <w:ilvl w:val="0"/>
                <w:numId w:val="24"/>
              </w:numPr>
              <w:ind w:left="362" w:hanging="181"/>
              <w:contextualSpacing w:val="0"/>
              <w:jc w:val="both"/>
              <w:rPr>
                <w:rFonts w:ascii="Calibri" w:hAnsi="Calibri" w:cs="Calibri"/>
                <w:lang w:val="en-IE"/>
              </w:rPr>
            </w:pPr>
            <w:r>
              <w:rPr>
                <w:rFonts w:ascii="Calibri" w:hAnsi="Calibri" w:cs="Calibri"/>
                <w:lang w:val="en-IE"/>
              </w:rPr>
              <w:t>Representatives of the ERA Forum, including its seven stakeholder groups and observers.</w:t>
            </w:r>
          </w:p>
          <w:p w14:paraId="7E7F5C5D" w14:textId="77777777" w:rsidR="001977AC" w:rsidRPr="00631B42" w:rsidRDefault="001977AC" w:rsidP="001977AC">
            <w:pPr>
              <w:pStyle w:val="ListParagraph"/>
              <w:numPr>
                <w:ilvl w:val="0"/>
                <w:numId w:val="24"/>
              </w:numPr>
              <w:ind w:left="362" w:hanging="181"/>
              <w:contextualSpacing w:val="0"/>
              <w:jc w:val="both"/>
              <w:rPr>
                <w:rFonts w:ascii="Calibri" w:hAnsi="Calibri" w:cs="Calibri"/>
                <w:lang w:val="en-IE"/>
              </w:rPr>
            </w:pPr>
            <w:r w:rsidRPr="00631B42">
              <w:rPr>
                <w:rFonts w:ascii="Calibri" w:hAnsi="Calibri" w:cs="Calibri"/>
                <w:lang w:val="en-IE"/>
              </w:rPr>
              <w:t xml:space="preserve">Ministries in charge of </w:t>
            </w:r>
            <w:proofErr w:type="spellStart"/>
            <w:r w:rsidRPr="00631B42">
              <w:rPr>
                <w:rFonts w:ascii="Calibri" w:hAnsi="Calibri" w:cs="Calibri"/>
                <w:lang w:val="en-IE"/>
              </w:rPr>
              <w:t>R&amp;I</w:t>
            </w:r>
            <w:proofErr w:type="spellEnd"/>
            <w:r w:rsidRPr="00631B42">
              <w:rPr>
                <w:rFonts w:ascii="Calibri" w:hAnsi="Calibri" w:cs="Calibri"/>
                <w:lang w:val="en-IE"/>
              </w:rPr>
              <w:t xml:space="preserve"> policy</w:t>
            </w:r>
            <w:r>
              <w:rPr>
                <w:rFonts w:ascii="Calibri" w:hAnsi="Calibri" w:cs="Calibri"/>
                <w:lang w:val="en-IE"/>
              </w:rPr>
              <w:t>.</w:t>
            </w:r>
          </w:p>
          <w:p w14:paraId="7707583D" w14:textId="77777777" w:rsidR="001977AC" w:rsidRPr="00631B42" w:rsidRDefault="001977AC" w:rsidP="001977AC">
            <w:pPr>
              <w:pStyle w:val="ListParagraph"/>
              <w:numPr>
                <w:ilvl w:val="0"/>
                <w:numId w:val="24"/>
              </w:numPr>
              <w:ind w:left="362" w:hanging="181"/>
              <w:contextualSpacing w:val="0"/>
              <w:jc w:val="both"/>
              <w:rPr>
                <w:rFonts w:ascii="Calibri" w:hAnsi="Calibri" w:cs="Calibri"/>
                <w:lang w:val="en-IE"/>
              </w:rPr>
            </w:pPr>
            <w:r w:rsidRPr="00631B42">
              <w:rPr>
                <w:rFonts w:ascii="Calibri" w:hAnsi="Calibri" w:cs="Calibri"/>
                <w:lang w:val="en-IE"/>
              </w:rPr>
              <w:t>Ministries in charge of employment, social and care policies, and industrial policy.</w:t>
            </w:r>
          </w:p>
          <w:p w14:paraId="6FD1111F" w14:textId="77777777" w:rsidR="001977AC" w:rsidRPr="00631B42" w:rsidRDefault="001977AC" w:rsidP="001977AC">
            <w:pPr>
              <w:pStyle w:val="ListParagraph"/>
              <w:numPr>
                <w:ilvl w:val="0"/>
                <w:numId w:val="24"/>
              </w:numPr>
              <w:ind w:left="362" w:hanging="181"/>
              <w:contextualSpacing w:val="0"/>
              <w:jc w:val="both"/>
              <w:rPr>
                <w:rFonts w:ascii="Calibri" w:hAnsi="Calibri" w:cs="Calibri"/>
                <w:lang w:val="en-IE"/>
              </w:rPr>
            </w:pPr>
            <w:r w:rsidRPr="00631B42">
              <w:rPr>
                <w:rFonts w:ascii="Calibri" w:hAnsi="Calibri" w:cs="Calibri"/>
                <w:lang w:val="en-IE"/>
              </w:rPr>
              <w:t xml:space="preserve">relevant Commission services and agencies involved in </w:t>
            </w:r>
            <w:proofErr w:type="spellStart"/>
            <w:r w:rsidRPr="00631B42">
              <w:rPr>
                <w:rFonts w:ascii="Calibri" w:hAnsi="Calibri" w:cs="Calibri"/>
                <w:lang w:val="en-IE"/>
              </w:rPr>
              <w:t>R&amp;I</w:t>
            </w:r>
            <w:proofErr w:type="spellEnd"/>
            <w:r w:rsidRPr="00631B42">
              <w:rPr>
                <w:rFonts w:ascii="Calibri" w:hAnsi="Calibri" w:cs="Calibri"/>
                <w:lang w:val="en-IE"/>
              </w:rPr>
              <w:t xml:space="preserve"> or employment such as DG JRC, </w:t>
            </w:r>
            <w:proofErr w:type="spellStart"/>
            <w:r w:rsidRPr="00631B42">
              <w:rPr>
                <w:rFonts w:ascii="Calibri" w:hAnsi="Calibri" w:cs="Calibri"/>
                <w:lang w:val="en-IE"/>
              </w:rPr>
              <w:t>CEDEFOP</w:t>
            </w:r>
            <w:proofErr w:type="spellEnd"/>
            <w:r>
              <w:rPr>
                <w:rFonts w:ascii="Calibri" w:hAnsi="Calibri" w:cs="Calibri"/>
                <w:lang w:val="en-IE"/>
              </w:rPr>
              <w:t xml:space="preserve"> </w:t>
            </w:r>
            <w:r w:rsidRPr="00AE222A">
              <w:rPr>
                <w:rFonts w:ascii="Calibri" w:hAnsi="Calibri" w:cs="Calibri"/>
                <w:lang w:val="en-IE"/>
              </w:rPr>
              <w:t>(Department for VET and Skills)</w:t>
            </w:r>
            <w:r w:rsidRPr="00631B42">
              <w:rPr>
                <w:rFonts w:ascii="Calibri" w:hAnsi="Calibri" w:cs="Calibri"/>
                <w:lang w:val="en-IE"/>
              </w:rPr>
              <w:t>, EU-OSHA</w:t>
            </w:r>
            <w:r>
              <w:rPr>
                <w:rFonts w:ascii="Calibri" w:hAnsi="Calibri" w:cs="Calibri"/>
                <w:lang w:val="en-IE"/>
              </w:rPr>
              <w:t xml:space="preserve"> </w:t>
            </w:r>
            <w:r w:rsidRPr="00AE222A">
              <w:rPr>
                <w:rFonts w:ascii="Calibri" w:hAnsi="Calibri" w:cs="Calibri"/>
                <w:lang w:val="en-IE"/>
              </w:rPr>
              <w:t>(Prevention &amp; Research Unit)</w:t>
            </w:r>
            <w:r w:rsidRPr="00631B42">
              <w:rPr>
                <w:rFonts w:ascii="Calibri" w:hAnsi="Calibri" w:cs="Calibri"/>
                <w:lang w:val="en-IE"/>
              </w:rPr>
              <w:t xml:space="preserve">, </w:t>
            </w:r>
            <w:r w:rsidRPr="00AE222A">
              <w:rPr>
                <w:rFonts w:ascii="Calibri" w:hAnsi="Calibri" w:cs="Calibri"/>
                <w:lang w:val="en-IE"/>
              </w:rPr>
              <w:t>European Training Foundation (Skills Identification and Development Unit)</w:t>
            </w:r>
            <w:r w:rsidRPr="00631B42">
              <w:rPr>
                <w:rFonts w:ascii="Calibri" w:hAnsi="Calibri" w:cs="Calibri"/>
                <w:lang w:val="en-IE"/>
              </w:rPr>
              <w:t xml:space="preserve"> and </w:t>
            </w:r>
            <w:proofErr w:type="spellStart"/>
            <w:r w:rsidRPr="00631B42">
              <w:rPr>
                <w:rFonts w:ascii="Calibri" w:hAnsi="Calibri" w:cs="Calibri"/>
                <w:lang w:val="en-IE"/>
              </w:rPr>
              <w:t>Eurofound</w:t>
            </w:r>
            <w:proofErr w:type="spellEnd"/>
            <w:r>
              <w:rPr>
                <w:rFonts w:ascii="Calibri" w:hAnsi="Calibri" w:cs="Calibri"/>
                <w:lang w:val="en-IE"/>
              </w:rPr>
              <w:t xml:space="preserve"> </w:t>
            </w:r>
            <w:r w:rsidRPr="00AE222A">
              <w:rPr>
                <w:rFonts w:ascii="Calibri" w:hAnsi="Calibri" w:cs="Calibri"/>
                <w:lang w:val="en-IE"/>
              </w:rPr>
              <w:t>(Employment unit &amp; Working life unit)</w:t>
            </w:r>
            <w:r w:rsidRPr="00631B42">
              <w:rPr>
                <w:rFonts w:ascii="Calibri" w:hAnsi="Calibri" w:cs="Calibri"/>
                <w:lang w:val="en-IE"/>
              </w:rPr>
              <w:t xml:space="preserve">;   </w:t>
            </w:r>
          </w:p>
          <w:p w14:paraId="428AC0EE" w14:textId="77777777" w:rsidR="001977AC" w:rsidRPr="00631B42" w:rsidRDefault="001977AC" w:rsidP="001977AC">
            <w:pPr>
              <w:pStyle w:val="ListParagraph"/>
              <w:numPr>
                <w:ilvl w:val="0"/>
                <w:numId w:val="24"/>
              </w:numPr>
              <w:ind w:left="362" w:hanging="181"/>
              <w:contextualSpacing w:val="0"/>
              <w:jc w:val="both"/>
              <w:rPr>
                <w:rFonts w:ascii="Calibri" w:hAnsi="Calibri" w:cs="Calibri"/>
                <w:lang w:val="en-IE"/>
              </w:rPr>
            </w:pPr>
            <w:r>
              <w:rPr>
                <w:rFonts w:ascii="Calibri" w:hAnsi="Calibri" w:cs="Calibri"/>
                <w:lang w:val="en-IE"/>
              </w:rPr>
              <w:t>relevant departments of International Organisations such as the ILO and the OECD</w:t>
            </w:r>
            <w:r w:rsidRPr="00631B42">
              <w:rPr>
                <w:rFonts w:ascii="Calibri" w:hAnsi="Calibri" w:cs="Calibri"/>
                <w:lang w:val="en-IE"/>
              </w:rPr>
              <w:t xml:space="preserve">. </w:t>
            </w:r>
          </w:p>
          <w:p w14:paraId="60184F3D" w14:textId="77777777" w:rsidR="001977AC" w:rsidRPr="00631B42" w:rsidRDefault="001977AC" w:rsidP="007037E4">
            <w:pPr>
              <w:spacing w:after="120"/>
              <w:jc w:val="both"/>
              <w:rPr>
                <w:rFonts w:ascii="Calibri" w:hAnsi="Calibri" w:cs="Calibri"/>
              </w:rPr>
            </w:pPr>
            <w:r w:rsidRPr="00631B42">
              <w:rPr>
                <w:rFonts w:ascii="Calibri" w:hAnsi="Calibri" w:cs="Calibri"/>
              </w:rPr>
              <w:br/>
            </w:r>
            <w:r>
              <w:rPr>
                <w:rFonts w:ascii="Calibri" w:hAnsi="Calibri" w:cs="Calibri"/>
              </w:rPr>
              <w:t xml:space="preserve">DG RTD </w:t>
            </w:r>
            <w:proofErr w:type="spellStart"/>
            <w:r>
              <w:rPr>
                <w:rFonts w:ascii="Calibri" w:hAnsi="Calibri" w:cs="Calibri"/>
              </w:rPr>
              <w:t>E.5</w:t>
            </w:r>
            <w:proofErr w:type="spellEnd"/>
            <w:r>
              <w:rPr>
                <w:rFonts w:ascii="Calibri" w:hAnsi="Calibri" w:cs="Calibri"/>
              </w:rPr>
              <w:t xml:space="preserve"> and DG EMPL </w:t>
            </w:r>
            <w:proofErr w:type="spellStart"/>
            <w:r>
              <w:rPr>
                <w:rFonts w:ascii="Calibri" w:hAnsi="Calibri" w:cs="Calibri"/>
              </w:rPr>
              <w:t>F.3</w:t>
            </w:r>
            <w:proofErr w:type="spellEnd"/>
            <w:r>
              <w:rPr>
                <w:rFonts w:ascii="Calibri" w:hAnsi="Calibri" w:cs="Calibri"/>
              </w:rPr>
              <w:t xml:space="preserve"> will also present</w:t>
            </w:r>
            <w:r w:rsidRPr="00631B42">
              <w:rPr>
                <w:rFonts w:ascii="Calibri" w:hAnsi="Calibri" w:cs="Calibri"/>
              </w:rPr>
              <w:t xml:space="preserve"> </w:t>
            </w:r>
            <w:proofErr w:type="spellStart"/>
            <w:r w:rsidRPr="00631B42">
              <w:rPr>
                <w:rFonts w:ascii="Calibri" w:hAnsi="Calibri" w:cs="Calibri"/>
              </w:rPr>
              <w:t>ERA4FutureWork</w:t>
            </w:r>
            <w:r>
              <w:rPr>
                <w:rFonts w:ascii="Calibri" w:hAnsi="Calibri" w:cs="Calibri"/>
              </w:rPr>
              <w:t>’s</w:t>
            </w:r>
            <w:proofErr w:type="spellEnd"/>
            <w:r w:rsidRPr="00631B42">
              <w:rPr>
                <w:rFonts w:ascii="Calibri" w:hAnsi="Calibri" w:cs="Calibri"/>
              </w:rPr>
              <w:t xml:space="preserve"> objectives</w:t>
            </w:r>
            <w:r>
              <w:rPr>
                <w:rFonts w:ascii="Calibri" w:hAnsi="Calibri" w:cs="Calibri"/>
              </w:rPr>
              <w:t xml:space="preserve"> and progress to </w:t>
            </w:r>
            <w:r>
              <w:rPr>
                <w:rFonts w:ascii="Calibri" w:hAnsi="Calibri" w:cs="Calibri"/>
              </w:rPr>
              <w:lastRenderedPageBreak/>
              <w:t>the following</w:t>
            </w:r>
            <w:r w:rsidRPr="00631B42">
              <w:rPr>
                <w:rFonts w:ascii="Calibri" w:hAnsi="Calibri" w:cs="Calibri"/>
              </w:rPr>
              <w:t xml:space="preserve"> groups</w:t>
            </w:r>
            <w:r>
              <w:rPr>
                <w:rFonts w:ascii="Calibri" w:hAnsi="Calibri" w:cs="Calibri"/>
              </w:rPr>
              <w:t xml:space="preserve">, in order to receive additional stakeholder feedback on aspects of </w:t>
            </w:r>
            <w:proofErr w:type="spellStart"/>
            <w:r>
              <w:rPr>
                <w:rFonts w:ascii="Calibri" w:hAnsi="Calibri" w:cs="Calibri"/>
              </w:rPr>
              <w:t>R&amp;I</w:t>
            </w:r>
            <w:proofErr w:type="spellEnd"/>
            <w:r>
              <w:rPr>
                <w:rFonts w:ascii="Calibri" w:hAnsi="Calibri" w:cs="Calibri"/>
              </w:rPr>
              <w:t xml:space="preserve"> and employment policy priorities</w:t>
            </w:r>
            <w:r w:rsidRPr="00631B42">
              <w:rPr>
                <w:rFonts w:ascii="Calibri" w:hAnsi="Calibri" w:cs="Calibri"/>
              </w:rPr>
              <w:t>:</w:t>
            </w:r>
          </w:p>
          <w:p w14:paraId="1FA4BCC4" w14:textId="77777777" w:rsidR="001977AC" w:rsidRPr="00631B42" w:rsidRDefault="001977AC" w:rsidP="001977AC">
            <w:pPr>
              <w:pStyle w:val="ListParagraph"/>
              <w:numPr>
                <w:ilvl w:val="0"/>
                <w:numId w:val="24"/>
              </w:numPr>
              <w:ind w:left="362" w:hanging="181"/>
              <w:contextualSpacing w:val="0"/>
              <w:jc w:val="both"/>
              <w:rPr>
                <w:rFonts w:ascii="Calibri" w:hAnsi="Calibri" w:cs="Calibri"/>
                <w:lang w:val="en-IE"/>
              </w:rPr>
            </w:pPr>
            <w:r w:rsidRPr="00631B42">
              <w:rPr>
                <w:rFonts w:ascii="Calibri" w:hAnsi="Calibri" w:cs="Calibri"/>
                <w:lang w:val="en-IE"/>
              </w:rPr>
              <w:t xml:space="preserve">Member State Programme Committees of Horizon Europe Clusters 1 (Health), 2 (Culture, creativity and inclusive society) and 4 (Digital, Industry and Space), which focus on work programme definition and monitoring implementation.  </w:t>
            </w:r>
          </w:p>
          <w:p w14:paraId="0DEA6A5F" w14:textId="77777777" w:rsidR="001977AC" w:rsidRPr="002F1120" w:rsidRDefault="001977AC" w:rsidP="001977AC">
            <w:pPr>
              <w:pStyle w:val="ListParagraph"/>
              <w:numPr>
                <w:ilvl w:val="0"/>
                <w:numId w:val="24"/>
              </w:numPr>
              <w:ind w:left="362" w:hanging="181"/>
              <w:contextualSpacing w:val="0"/>
              <w:jc w:val="both"/>
              <w:rPr>
                <w:rFonts w:ascii="Calibri" w:hAnsi="Calibri" w:cs="Calibri"/>
                <w:lang w:val="en-IE"/>
              </w:rPr>
            </w:pPr>
            <w:r w:rsidRPr="00F41AB1">
              <w:rPr>
                <w:rFonts w:ascii="Calibri" w:hAnsi="Calibri" w:cs="Calibri"/>
                <w:lang w:val="en-IE"/>
              </w:rPr>
              <w:t>European social partners and European (sectoral) social dialogue committees</w:t>
            </w:r>
            <w:r>
              <w:rPr>
                <w:rFonts w:ascii="Calibri" w:hAnsi="Calibri" w:cs="Calibri"/>
                <w:lang w:val="en-IE"/>
              </w:rPr>
              <w:t>.</w:t>
            </w:r>
          </w:p>
          <w:p w14:paraId="74FF76B4" w14:textId="77777777" w:rsidR="001977AC" w:rsidRDefault="001977AC" w:rsidP="007037E4">
            <w:pPr>
              <w:jc w:val="both"/>
              <w:rPr>
                <w:rFonts w:ascii="Calibri" w:hAnsi="Calibri" w:cs="Calibri"/>
              </w:rPr>
            </w:pPr>
          </w:p>
          <w:p w14:paraId="0779E070" w14:textId="77777777" w:rsidR="001977AC" w:rsidRPr="00657771" w:rsidRDefault="001977AC" w:rsidP="007037E4">
            <w:pPr>
              <w:jc w:val="both"/>
              <w:rPr>
                <w:rFonts w:ascii="Calibri" w:hAnsi="Calibri" w:cs="Calibri"/>
                <w:b/>
                <w:bCs/>
              </w:rPr>
            </w:pPr>
            <w:r w:rsidRPr="00657771">
              <w:rPr>
                <w:rFonts w:ascii="Calibri" w:hAnsi="Calibri" w:cs="Calibri"/>
                <w:b/>
                <w:bCs/>
              </w:rPr>
              <w:t>Stakeholder engagement approach</w:t>
            </w:r>
          </w:p>
          <w:p w14:paraId="69A3E4B4" w14:textId="77777777" w:rsidR="001977AC" w:rsidRPr="00657771" w:rsidRDefault="001977AC" w:rsidP="007037E4">
            <w:pPr>
              <w:jc w:val="both"/>
              <w:rPr>
                <w:rFonts w:ascii="Calibri" w:hAnsi="Calibri" w:cs="Calibri"/>
              </w:rPr>
            </w:pPr>
            <w:r w:rsidRPr="009F46B5">
              <w:rPr>
                <w:rFonts w:ascii="Calibri" w:hAnsi="Calibri" w:cs="Calibri"/>
              </w:rPr>
              <w:t xml:space="preserve">Interested MS/AC will be requested to authorise relevant experts in the field (with an </w:t>
            </w:r>
            <w:proofErr w:type="spellStart"/>
            <w:r w:rsidRPr="009F46B5">
              <w:rPr>
                <w:rFonts w:ascii="Calibri" w:hAnsi="Calibri" w:cs="Calibri"/>
              </w:rPr>
              <w:t>R&amp;I</w:t>
            </w:r>
            <w:proofErr w:type="spellEnd"/>
            <w:r w:rsidRPr="009F46B5">
              <w:rPr>
                <w:rFonts w:ascii="Calibri" w:hAnsi="Calibri" w:cs="Calibri"/>
              </w:rPr>
              <w:t xml:space="preserve"> and/or labour policy background), to meet, deliberate and co-create the </w:t>
            </w:r>
            <w:proofErr w:type="spellStart"/>
            <w:r w:rsidRPr="009F46B5">
              <w:rPr>
                <w:rFonts w:ascii="Calibri" w:hAnsi="Calibri" w:cs="Calibri"/>
              </w:rPr>
              <w:t>SRIA</w:t>
            </w:r>
            <w:proofErr w:type="spellEnd"/>
            <w:r w:rsidRPr="009F46B5">
              <w:rPr>
                <w:rFonts w:ascii="Calibri" w:hAnsi="Calibri" w:cs="Calibri"/>
              </w:rPr>
              <w:t>.</w:t>
            </w:r>
            <w:r w:rsidRPr="00657771">
              <w:rPr>
                <w:rFonts w:ascii="Calibri" w:hAnsi="Calibri" w:cs="Calibri"/>
              </w:rPr>
              <w:t xml:space="preserve"> The Commission will coordinate and support the drafting of the </w:t>
            </w:r>
            <w:proofErr w:type="spellStart"/>
            <w:r w:rsidRPr="00657771">
              <w:rPr>
                <w:rFonts w:ascii="Calibri" w:hAnsi="Calibri" w:cs="Calibri"/>
              </w:rPr>
              <w:t>SRIA</w:t>
            </w:r>
            <w:proofErr w:type="spellEnd"/>
            <w:r w:rsidRPr="00657771">
              <w:rPr>
                <w:rFonts w:ascii="Calibri" w:hAnsi="Calibri" w:cs="Calibri"/>
              </w:rPr>
              <w:t>.</w:t>
            </w:r>
          </w:p>
          <w:p w14:paraId="4F89BA30" w14:textId="77777777" w:rsidR="001977AC" w:rsidRPr="00657771" w:rsidRDefault="001977AC" w:rsidP="007037E4">
            <w:pPr>
              <w:jc w:val="both"/>
              <w:rPr>
                <w:rFonts w:ascii="Calibri" w:hAnsi="Calibri" w:cs="Calibri"/>
              </w:rPr>
            </w:pPr>
          </w:p>
        </w:tc>
      </w:tr>
      <w:tr w:rsidR="001977AC" w14:paraId="0FF36350" w14:textId="77777777" w:rsidTr="001977AC">
        <w:tc>
          <w:tcPr>
            <w:tcW w:w="2410" w:type="dxa"/>
          </w:tcPr>
          <w:p w14:paraId="50FB0F89" w14:textId="77777777" w:rsidR="001977AC" w:rsidRPr="005A2F61" w:rsidRDefault="001977AC" w:rsidP="001977AC">
            <w:pPr>
              <w:pStyle w:val="ListParagraph"/>
              <w:numPr>
                <w:ilvl w:val="0"/>
                <w:numId w:val="10"/>
              </w:numPr>
              <w:spacing w:before="120" w:after="120"/>
              <w:rPr>
                <w:b/>
              </w:rPr>
            </w:pPr>
            <w:r w:rsidRPr="005A2F61">
              <w:rPr>
                <w:b/>
              </w:rPr>
              <w:lastRenderedPageBreak/>
              <w:t>Timing</w:t>
            </w:r>
            <w:r>
              <w:rPr>
                <w:b/>
              </w:rPr>
              <w:t xml:space="preserve"> and milestones</w:t>
            </w:r>
          </w:p>
        </w:tc>
        <w:tc>
          <w:tcPr>
            <w:tcW w:w="8364" w:type="dxa"/>
          </w:tcPr>
          <w:p w14:paraId="4A8FDB34" w14:textId="77777777" w:rsidR="001977AC" w:rsidRPr="009F46B5" w:rsidRDefault="001977AC" w:rsidP="007037E4">
            <w:pPr>
              <w:spacing w:after="120"/>
              <w:jc w:val="both"/>
              <w:rPr>
                <w:rFonts w:ascii="Calibri" w:hAnsi="Calibri" w:cs="Calibri"/>
              </w:rPr>
            </w:pPr>
            <w:r w:rsidRPr="00631B42">
              <w:rPr>
                <w:rFonts w:ascii="Calibri" w:hAnsi="Calibri" w:cs="Calibri"/>
              </w:rPr>
              <w:t xml:space="preserve">The </w:t>
            </w:r>
            <w:proofErr w:type="spellStart"/>
            <w:r w:rsidRPr="00631B42">
              <w:rPr>
                <w:rFonts w:ascii="Calibri" w:hAnsi="Calibri" w:cs="Calibri"/>
              </w:rPr>
              <w:t>ERA4FutureWork</w:t>
            </w:r>
            <w:proofErr w:type="spellEnd"/>
            <w:r w:rsidRPr="00631B42">
              <w:rPr>
                <w:rFonts w:ascii="Calibri" w:hAnsi="Calibri" w:cs="Calibri"/>
              </w:rPr>
              <w:t xml:space="preserve"> sub-action can be launched as soon as it is endorsed. </w:t>
            </w:r>
            <w:r w:rsidRPr="009F46B5">
              <w:rPr>
                <w:rFonts w:ascii="Calibri" w:hAnsi="Calibri" w:cs="Calibri"/>
              </w:rPr>
              <w:t xml:space="preserve">The action is expected to last 16-18 months. During this period, 5-7 meetings </w:t>
            </w:r>
            <w:r>
              <w:rPr>
                <w:rFonts w:ascii="Calibri" w:hAnsi="Calibri" w:cs="Calibri"/>
              </w:rPr>
              <w:t>between participants will</w:t>
            </w:r>
            <w:r w:rsidRPr="009F46B5">
              <w:rPr>
                <w:rFonts w:ascii="Calibri" w:hAnsi="Calibri" w:cs="Calibri"/>
              </w:rPr>
              <w:t xml:space="preserve"> be necessary. These meetings will function as milestones: experts will reflect on new drafts of the </w:t>
            </w:r>
            <w:proofErr w:type="spellStart"/>
            <w:r w:rsidRPr="009F46B5">
              <w:rPr>
                <w:rFonts w:ascii="Calibri" w:hAnsi="Calibri" w:cs="Calibri"/>
              </w:rPr>
              <w:t>SRIA</w:t>
            </w:r>
            <w:proofErr w:type="spellEnd"/>
            <w:r w:rsidRPr="009F46B5">
              <w:rPr>
                <w:rFonts w:ascii="Calibri" w:hAnsi="Calibri" w:cs="Calibri"/>
              </w:rPr>
              <w:t xml:space="preserve"> and decide on action points until the next meeting. During each meeting, there will also be dedicated slots for the actors listed above to present their relevant actions/best practices and discuss implications for policy and </w:t>
            </w:r>
            <w:proofErr w:type="spellStart"/>
            <w:r w:rsidRPr="009F46B5">
              <w:rPr>
                <w:rFonts w:ascii="Calibri" w:hAnsi="Calibri" w:cs="Calibri"/>
              </w:rPr>
              <w:t>R&amp;I</w:t>
            </w:r>
            <w:proofErr w:type="spellEnd"/>
            <w:r w:rsidRPr="009F46B5">
              <w:rPr>
                <w:rFonts w:ascii="Calibri" w:hAnsi="Calibri" w:cs="Calibri"/>
              </w:rPr>
              <w:t xml:space="preserve"> on the future of work.</w:t>
            </w:r>
          </w:p>
          <w:p w14:paraId="0BD92AF7" w14:textId="77777777" w:rsidR="001977AC" w:rsidRPr="00631B42" w:rsidRDefault="001977AC" w:rsidP="007037E4">
            <w:pPr>
              <w:spacing w:after="120"/>
              <w:jc w:val="both"/>
              <w:rPr>
                <w:rFonts w:ascii="Calibri" w:hAnsi="Calibri" w:cs="Calibri"/>
              </w:rPr>
            </w:pPr>
            <w:r w:rsidRPr="009F46B5">
              <w:rPr>
                <w:rFonts w:ascii="Calibri" w:hAnsi="Calibri" w:cs="Calibri"/>
              </w:rPr>
              <w:t>The Commission will regularly report on the outcome of these meetings and the progress in implementing the action, to the ERA Forum and receive feedback by participating MS/AC and stakeholders.</w:t>
            </w:r>
            <w:r w:rsidRPr="00631B42">
              <w:rPr>
                <w:rFonts w:ascii="Calibri" w:hAnsi="Calibri" w:cs="Calibri"/>
              </w:rPr>
              <w:t xml:space="preserve"> </w:t>
            </w:r>
          </w:p>
          <w:p w14:paraId="25520DBD" w14:textId="77777777" w:rsidR="001977AC" w:rsidRPr="00631B42" w:rsidRDefault="001977AC" w:rsidP="007037E4">
            <w:pPr>
              <w:spacing w:after="120"/>
              <w:jc w:val="both"/>
              <w:rPr>
                <w:rFonts w:ascii="Calibri" w:hAnsi="Calibri" w:cs="Calibri"/>
              </w:rPr>
            </w:pPr>
            <w:proofErr w:type="spellStart"/>
            <w:r w:rsidRPr="00631B42">
              <w:rPr>
                <w:rFonts w:ascii="Calibri" w:eastAsia="Calibri" w:hAnsi="Calibri" w:cs="Calibri"/>
                <w:iCs/>
              </w:rPr>
              <w:t>ERA4FutureWork</w:t>
            </w:r>
            <w:proofErr w:type="spellEnd"/>
            <w:r w:rsidRPr="00631B42">
              <w:rPr>
                <w:rFonts w:ascii="Calibri" w:eastAsia="Calibri" w:hAnsi="Calibri" w:cs="Calibri"/>
                <w:iCs/>
              </w:rPr>
              <w:t xml:space="preserve"> comprises the following key milestones:</w:t>
            </w:r>
          </w:p>
          <w:p w14:paraId="57E5D47D" w14:textId="77777777" w:rsidR="001977AC" w:rsidRPr="00631B42" w:rsidRDefault="001977AC" w:rsidP="001977AC">
            <w:pPr>
              <w:numPr>
                <w:ilvl w:val="0"/>
                <w:numId w:val="25"/>
              </w:numPr>
              <w:spacing w:after="120"/>
              <w:contextualSpacing/>
              <w:jc w:val="both"/>
              <w:rPr>
                <w:rFonts w:ascii="Calibri" w:eastAsiaTheme="minorEastAsia" w:hAnsi="Calibri" w:cs="Calibri"/>
                <w:b/>
                <w:iCs/>
              </w:rPr>
            </w:pPr>
            <w:r w:rsidRPr="00631B42">
              <w:rPr>
                <w:rFonts w:ascii="Calibri" w:hAnsi="Calibri" w:cs="Calibri"/>
                <w:b/>
                <w:iCs/>
              </w:rPr>
              <w:t xml:space="preserve">Kick off and set up </w:t>
            </w:r>
            <w:proofErr w:type="spellStart"/>
            <w:r w:rsidRPr="00631B42">
              <w:rPr>
                <w:rFonts w:ascii="Calibri" w:hAnsi="Calibri" w:cs="Calibri"/>
                <w:b/>
              </w:rPr>
              <w:t>ERA4FutureWork</w:t>
            </w:r>
            <w:proofErr w:type="spellEnd"/>
            <w:r w:rsidRPr="00631B42">
              <w:rPr>
                <w:rFonts w:ascii="Calibri" w:hAnsi="Calibri" w:cs="Calibri"/>
                <w:b/>
              </w:rPr>
              <w:t xml:space="preserve"> working method</w:t>
            </w:r>
            <w:r w:rsidRPr="00631B42">
              <w:rPr>
                <w:rFonts w:ascii="Calibri" w:hAnsi="Calibri" w:cs="Calibri"/>
                <w:b/>
                <w:iCs/>
              </w:rPr>
              <w:t xml:space="preserve"> </w:t>
            </w:r>
            <w:r w:rsidRPr="00631B42">
              <w:rPr>
                <w:rFonts w:ascii="Calibri" w:hAnsi="Calibri" w:cs="Calibri"/>
                <w:b/>
                <w:iCs/>
              </w:rPr>
              <w:br/>
              <w:t>(</w:t>
            </w:r>
            <w:proofErr w:type="spellStart"/>
            <w:r w:rsidRPr="00631B42">
              <w:rPr>
                <w:rFonts w:ascii="Calibri" w:hAnsi="Calibri" w:cs="Calibri"/>
                <w:b/>
                <w:iCs/>
              </w:rPr>
              <w:t>Q3-Q4</w:t>
            </w:r>
            <w:proofErr w:type="spellEnd"/>
            <w:r w:rsidRPr="00631B42">
              <w:rPr>
                <w:rFonts w:ascii="Calibri" w:hAnsi="Calibri" w:cs="Calibri"/>
                <w:b/>
                <w:iCs/>
              </w:rPr>
              <w:t xml:space="preserve"> 2022)</w:t>
            </w:r>
          </w:p>
          <w:p w14:paraId="2715AE88" w14:textId="77777777" w:rsidR="001977AC" w:rsidRPr="00631B42" w:rsidRDefault="001977AC" w:rsidP="001977AC">
            <w:pPr>
              <w:numPr>
                <w:ilvl w:val="0"/>
                <w:numId w:val="26"/>
              </w:numPr>
              <w:spacing w:after="120"/>
              <w:contextualSpacing/>
              <w:jc w:val="both"/>
              <w:rPr>
                <w:rFonts w:ascii="Calibri" w:eastAsiaTheme="minorEastAsia" w:hAnsi="Calibri" w:cs="Calibri"/>
                <w:iCs/>
              </w:rPr>
            </w:pPr>
            <w:r w:rsidRPr="00631B42">
              <w:rPr>
                <w:rFonts w:ascii="Calibri" w:eastAsiaTheme="minorEastAsia" w:hAnsi="Calibri" w:cs="Calibri"/>
                <w:iCs/>
              </w:rPr>
              <w:t>Kick-off meeting.</w:t>
            </w:r>
          </w:p>
          <w:p w14:paraId="05D55932" w14:textId="77777777" w:rsidR="001977AC" w:rsidRDefault="001977AC" w:rsidP="001977AC">
            <w:pPr>
              <w:numPr>
                <w:ilvl w:val="0"/>
                <w:numId w:val="26"/>
              </w:numPr>
              <w:spacing w:after="240"/>
              <w:contextualSpacing/>
              <w:jc w:val="both"/>
              <w:rPr>
                <w:rFonts w:ascii="Calibri" w:eastAsiaTheme="minorEastAsia" w:hAnsi="Calibri" w:cs="Calibri"/>
                <w:iCs/>
              </w:rPr>
            </w:pPr>
            <w:r w:rsidRPr="00EF050F">
              <w:rPr>
                <w:rFonts w:ascii="Calibri" w:eastAsiaTheme="minorEastAsia" w:hAnsi="Calibri" w:cs="Calibri"/>
                <w:iCs/>
              </w:rPr>
              <w:t>Outcome of the preparatory workshops, expanded portfolio analysis of Horizon 2020/Horizon Europe investment on the future of work &amp;</w:t>
            </w:r>
            <w:r>
              <w:t xml:space="preserve"> </w:t>
            </w:r>
            <w:r>
              <w:rPr>
                <w:rFonts w:ascii="Calibri" w:eastAsiaTheme="minorEastAsia" w:hAnsi="Calibri" w:cs="Calibri"/>
                <w:iCs/>
              </w:rPr>
              <w:t>i</w:t>
            </w:r>
            <w:r w:rsidRPr="00EF050F">
              <w:rPr>
                <w:rFonts w:ascii="Calibri" w:eastAsiaTheme="minorEastAsia" w:hAnsi="Calibri" w:cs="Calibri"/>
                <w:iCs/>
              </w:rPr>
              <w:t>nitial gap analysis</w:t>
            </w:r>
            <w:r>
              <w:rPr>
                <w:rFonts w:ascii="Calibri" w:eastAsiaTheme="minorEastAsia" w:hAnsi="Calibri" w:cs="Calibri"/>
                <w:iCs/>
              </w:rPr>
              <w:t>.</w:t>
            </w:r>
          </w:p>
          <w:p w14:paraId="64CB9912" w14:textId="77777777" w:rsidR="001977AC" w:rsidRPr="00631B42" w:rsidRDefault="001977AC" w:rsidP="001977AC">
            <w:pPr>
              <w:numPr>
                <w:ilvl w:val="0"/>
                <w:numId w:val="26"/>
              </w:numPr>
              <w:spacing w:after="240"/>
              <w:contextualSpacing/>
              <w:jc w:val="both"/>
              <w:rPr>
                <w:rFonts w:ascii="Calibri" w:eastAsiaTheme="minorEastAsia" w:hAnsi="Calibri" w:cs="Calibri"/>
                <w:iCs/>
              </w:rPr>
            </w:pPr>
            <w:r>
              <w:rPr>
                <w:rFonts w:ascii="Calibri" w:eastAsiaTheme="minorEastAsia" w:hAnsi="Calibri" w:cs="Calibri"/>
                <w:iCs/>
              </w:rPr>
              <w:t>Presentation to the ERA Forum &amp; to the Horizon Europe Strategic Programme Committees of the 3 Clusters.</w:t>
            </w:r>
          </w:p>
          <w:p w14:paraId="71BC336F" w14:textId="77777777" w:rsidR="001977AC" w:rsidRPr="00EF050F" w:rsidRDefault="001977AC" w:rsidP="007037E4">
            <w:pPr>
              <w:spacing w:after="240"/>
              <w:contextualSpacing/>
              <w:jc w:val="both"/>
              <w:rPr>
                <w:rFonts w:ascii="Calibri" w:eastAsiaTheme="minorEastAsia" w:hAnsi="Calibri" w:cs="Calibri"/>
                <w:iCs/>
              </w:rPr>
            </w:pPr>
          </w:p>
          <w:p w14:paraId="5C0E18BE" w14:textId="77777777" w:rsidR="001977AC" w:rsidRPr="00631B42" w:rsidRDefault="001977AC" w:rsidP="001977AC">
            <w:pPr>
              <w:numPr>
                <w:ilvl w:val="0"/>
                <w:numId w:val="25"/>
              </w:numPr>
              <w:spacing w:after="120"/>
              <w:contextualSpacing/>
              <w:jc w:val="both"/>
              <w:rPr>
                <w:rFonts w:ascii="Calibri" w:eastAsiaTheme="minorEastAsia" w:hAnsi="Calibri" w:cs="Calibri"/>
                <w:b/>
                <w:iCs/>
              </w:rPr>
            </w:pPr>
            <w:r w:rsidRPr="00631B42">
              <w:rPr>
                <w:rFonts w:ascii="Calibri" w:hAnsi="Calibri" w:cs="Calibri"/>
                <w:b/>
                <w:iCs/>
              </w:rPr>
              <w:t xml:space="preserve">Build-up </w:t>
            </w:r>
            <w:proofErr w:type="spellStart"/>
            <w:r w:rsidRPr="00631B42">
              <w:rPr>
                <w:rFonts w:ascii="Calibri" w:hAnsi="Calibri" w:cs="Calibri"/>
                <w:b/>
                <w:iCs/>
              </w:rPr>
              <w:t>ERA4FutureWork</w:t>
            </w:r>
            <w:proofErr w:type="spellEnd"/>
            <w:r w:rsidRPr="00631B42">
              <w:rPr>
                <w:rFonts w:ascii="Calibri" w:hAnsi="Calibri" w:cs="Calibri"/>
                <w:b/>
              </w:rPr>
              <w:t xml:space="preserve"> </w:t>
            </w:r>
            <w:proofErr w:type="spellStart"/>
            <w:r w:rsidRPr="00631B42">
              <w:rPr>
                <w:rFonts w:ascii="Calibri" w:hAnsi="Calibri" w:cs="Calibri"/>
                <w:b/>
              </w:rPr>
              <w:t>R&amp;I</w:t>
            </w:r>
            <w:proofErr w:type="spellEnd"/>
            <w:r w:rsidRPr="00631B42">
              <w:rPr>
                <w:rFonts w:ascii="Calibri" w:hAnsi="Calibri" w:cs="Calibri"/>
                <w:b/>
              </w:rPr>
              <w:t xml:space="preserve"> evidence base and scale-up policy dialogue (2022-2023)</w:t>
            </w:r>
            <w:r w:rsidRPr="00631B42">
              <w:rPr>
                <w:rFonts w:ascii="Calibri" w:hAnsi="Calibri" w:cs="Calibri"/>
              </w:rPr>
              <w:t>, through</w:t>
            </w:r>
          </w:p>
          <w:p w14:paraId="23D80EC3" w14:textId="77777777" w:rsidR="001977AC" w:rsidRPr="00631B42" w:rsidRDefault="001977AC" w:rsidP="001977AC">
            <w:pPr>
              <w:numPr>
                <w:ilvl w:val="0"/>
                <w:numId w:val="26"/>
              </w:numPr>
              <w:spacing w:after="120"/>
              <w:contextualSpacing/>
              <w:jc w:val="both"/>
              <w:rPr>
                <w:rFonts w:ascii="Calibri" w:eastAsiaTheme="minorEastAsia" w:hAnsi="Calibri" w:cs="Calibri"/>
                <w:iCs/>
              </w:rPr>
            </w:pPr>
            <w:r>
              <w:rPr>
                <w:rFonts w:ascii="Calibri" w:eastAsiaTheme="minorEastAsia" w:hAnsi="Calibri" w:cs="Calibri"/>
                <w:iCs/>
              </w:rPr>
              <w:t>Five to seven workshops</w:t>
            </w:r>
            <w:r w:rsidRPr="00631B42">
              <w:rPr>
                <w:rFonts w:ascii="Calibri" w:eastAsiaTheme="minorEastAsia" w:hAnsi="Calibri" w:cs="Calibri"/>
                <w:iCs/>
              </w:rPr>
              <w:t xml:space="preserve"> to discuss findings (gaps, future challenges), invite presentations from select good practices at EU, national, regional or local levels </w:t>
            </w:r>
            <w:r>
              <w:rPr>
                <w:rFonts w:ascii="Calibri" w:eastAsiaTheme="minorEastAsia" w:hAnsi="Calibri" w:cs="Calibri"/>
                <w:iCs/>
              </w:rPr>
              <w:t xml:space="preserve">and </w:t>
            </w:r>
            <w:r w:rsidRPr="00631B42">
              <w:rPr>
                <w:rFonts w:ascii="Calibri" w:eastAsiaTheme="minorEastAsia" w:hAnsi="Calibri" w:cs="Calibri"/>
                <w:iCs/>
              </w:rPr>
              <w:t>steer further research.</w:t>
            </w:r>
          </w:p>
          <w:p w14:paraId="32BB0B3C" w14:textId="77777777" w:rsidR="001977AC" w:rsidRPr="00631B42" w:rsidRDefault="001977AC" w:rsidP="007037E4">
            <w:pPr>
              <w:spacing w:after="120"/>
              <w:contextualSpacing/>
              <w:jc w:val="both"/>
              <w:rPr>
                <w:rFonts w:ascii="Calibri" w:eastAsiaTheme="minorEastAsia" w:hAnsi="Calibri" w:cs="Calibri"/>
                <w:iCs/>
              </w:rPr>
            </w:pPr>
            <w:r>
              <w:rPr>
                <w:rFonts w:ascii="Calibri" w:hAnsi="Calibri" w:cs="Calibri"/>
                <w:iCs/>
              </w:rPr>
              <w:t>Other potential activities:</w:t>
            </w:r>
          </w:p>
          <w:p w14:paraId="4CAABFB5" w14:textId="77777777" w:rsidR="001977AC" w:rsidRPr="00631B42" w:rsidRDefault="001977AC" w:rsidP="001977AC">
            <w:pPr>
              <w:numPr>
                <w:ilvl w:val="0"/>
                <w:numId w:val="26"/>
              </w:numPr>
              <w:spacing w:after="120"/>
              <w:contextualSpacing/>
              <w:jc w:val="both"/>
              <w:rPr>
                <w:rFonts w:ascii="Calibri" w:eastAsiaTheme="minorEastAsia" w:hAnsi="Calibri" w:cs="Calibri"/>
                <w:iCs/>
              </w:rPr>
            </w:pPr>
            <w:r w:rsidRPr="00631B42">
              <w:rPr>
                <w:rFonts w:ascii="Calibri" w:hAnsi="Calibri" w:cs="Calibri"/>
                <w:iCs/>
              </w:rPr>
              <w:t>Organising EU-level debates and awareness-raising events ensuring participation of diverse relevant actors (</w:t>
            </w:r>
            <w:proofErr w:type="spellStart"/>
            <w:r w:rsidRPr="00631B42">
              <w:rPr>
                <w:rFonts w:ascii="Calibri" w:hAnsi="Calibri" w:cs="Calibri"/>
                <w:iCs/>
              </w:rPr>
              <w:t>R&amp;I</w:t>
            </w:r>
            <w:proofErr w:type="spellEnd"/>
            <w:r w:rsidRPr="00631B42">
              <w:rPr>
                <w:rFonts w:ascii="Calibri" w:hAnsi="Calibri" w:cs="Calibri"/>
                <w:iCs/>
              </w:rPr>
              <w:t>, social partners, academia, policymakers).</w:t>
            </w:r>
          </w:p>
          <w:p w14:paraId="4D896476" w14:textId="77777777" w:rsidR="001977AC" w:rsidRPr="00631B42" w:rsidRDefault="001977AC" w:rsidP="001977AC">
            <w:pPr>
              <w:numPr>
                <w:ilvl w:val="0"/>
                <w:numId w:val="26"/>
              </w:numPr>
              <w:spacing w:after="240"/>
              <w:ind w:left="714" w:hanging="357"/>
              <w:contextualSpacing/>
              <w:jc w:val="both"/>
              <w:rPr>
                <w:rFonts w:ascii="Calibri" w:eastAsiaTheme="minorEastAsia" w:hAnsi="Calibri" w:cs="Calibri"/>
                <w:iCs/>
              </w:rPr>
            </w:pPr>
            <w:r w:rsidRPr="00631B42">
              <w:rPr>
                <w:rFonts w:ascii="Calibri" w:eastAsiaTheme="minorEastAsia" w:hAnsi="Calibri" w:cs="Calibri"/>
                <w:iCs/>
              </w:rPr>
              <w:t xml:space="preserve">Measuring the public opinion on key challenges, solutions and aspirations regarding the future of work (e.g. Eurobarometer </w:t>
            </w:r>
            <w:r>
              <w:rPr>
                <w:rFonts w:ascii="Calibri" w:eastAsiaTheme="minorEastAsia" w:hAnsi="Calibri" w:cs="Calibri"/>
                <w:iCs/>
              </w:rPr>
              <w:t xml:space="preserve">or other </w:t>
            </w:r>
            <w:r w:rsidRPr="00631B42">
              <w:rPr>
                <w:rFonts w:ascii="Calibri" w:eastAsiaTheme="minorEastAsia" w:hAnsi="Calibri" w:cs="Calibri"/>
                <w:iCs/>
              </w:rPr>
              <w:t>survey</w:t>
            </w:r>
            <w:r>
              <w:rPr>
                <w:rFonts w:ascii="Calibri" w:eastAsiaTheme="minorEastAsia" w:hAnsi="Calibri" w:cs="Calibri"/>
                <w:iCs/>
              </w:rPr>
              <w:t>s</w:t>
            </w:r>
            <w:r w:rsidRPr="00631B42">
              <w:rPr>
                <w:rFonts w:ascii="Calibri" w:eastAsiaTheme="minorEastAsia" w:hAnsi="Calibri" w:cs="Calibri"/>
                <w:iCs/>
              </w:rPr>
              <w:t xml:space="preserve"> on workers or European youth).</w:t>
            </w:r>
          </w:p>
          <w:p w14:paraId="2ADFD750" w14:textId="77777777" w:rsidR="001977AC" w:rsidRPr="00631B42" w:rsidRDefault="001977AC" w:rsidP="001977AC">
            <w:pPr>
              <w:pStyle w:val="ListParagraph"/>
              <w:numPr>
                <w:ilvl w:val="0"/>
                <w:numId w:val="25"/>
              </w:numPr>
              <w:ind w:left="714" w:hanging="357"/>
              <w:jc w:val="both"/>
              <w:rPr>
                <w:rStyle w:val="normaltextrun"/>
                <w:rFonts w:ascii="Calibri" w:hAnsi="Calibri" w:cs="Calibri"/>
                <w:b/>
                <w:bdr w:val="none" w:sz="0" w:space="0" w:color="auto" w:frame="1"/>
                <w:lang w:val="en-IE"/>
              </w:rPr>
            </w:pPr>
            <w:r w:rsidRPr="00631B42">
              <w:rPr>
                <w:rStyle w:val="normaltextrun"/>
                <w:rFonts w:ascii="Calibri" w:hAnsi="Calibri" w:cs="Calibri"/>
                <w:b/>
                <w:bdr w:val="none" w:sz="0" w:space="0" w:color="auto" w:frame="1"/>
                <w:lang w:val="en-IE"/>
              </w:rPr>
              <w:t>Publish Strategic Research &amp; Innovation Agenda (</w:t>
            </w:r>
            <w:proofErr w:type="spellStart"/>
            <w:r w:rsidRPr="00631B42">
              <w:rPr>
                <w:rStyle w:val="normaltextrun"/>
                <w:rFonts w:ascii="Calibri" w:hAnsi="Calibri" w:cs="Calibri"/>
                <w:b/>
                <w:bdr w:val="none" w:sz="0" w:space="0" w:color="auto" w:frame="1"/>
                <w:lang w:val="en-IE"/>
              </w:rPr>
              <w:t>SRIA</w:t>
            </w:r>
            <w:proofErr w:type="spellEnd"/>
            <w:r w:rsidRPr="00631B42">
              <w:rPr>
                <w:rStyle w:val="normaltextrun"/>
                <w:rFonts w:ascii="Calibri" w:hAnsi="Calibri" w:cs="Calibri"/>
                <w:b/>
                <w:bdr w:val="none" w:sz="0" w:space="0" w:color="auto" w:frame="1"/>
                <w:lang w:val="en-IE"/>
              </w:rPr>
              <w:t>) on the Future of Work &amp; decide on next steps (</w:t>
            </w:r>
            <w:r>
              <w:rPr>
                <w:rStyle w:val="normaltextrun"/>
                <w:rFonts w:ascii="Calibri" w:hAnsi="Calibri" w:cs="Calibri"/>
                <w:b/>
                <w:bdr w:val="none" w:sz="0" w:space="0" w:color="auto" w:frame="1"/>
                <w:lang w:val="en-IE"/>
              </w:rPr>
              <w:t xml:space="preserve">first semester of </w:t>
            </w:r>
            <w:r w:rsidRPr="00631B42">
              <w:rPr>
                <w:rStyle w:val="normaltextrun"/>
                <w:rFonts w:ascii="Calibri" w:hAnsi="Calibri" w:cs="Calibri"/>
                <w:b/>
                <w:bdr w:val="none" w:sz="0" w:space="0" w:color="auto" w:frame="1"/>
                <w:lang w:val="en-IE"/>
              </w:rPr>
              <w:t xml:space="preserve">2024): </w:t>
            </w:r>
          </w:p>
          <w:p w14:paraId="6853E6BC" w14:textId="77777777" w:rsidR="001977AC" w:rsidRPr="00631B42" w:rsidRDefault="001977AC" w:rsidP="001977AC">
            <w:pPr>
              <w:numPr>
                <w:ilvl w:val="0"/>
                <w:numId w:val="26"/>
              </w:numPr>
              <w:spacing w:after="120"/>
              <w:contextualSpacing/>
              <w:jc w:val="both"/>
            </w:pPr>
            <w:r w:rsidRPr="00631B42">
              <w:rPr>
                <w:iCs/>
              </w:rPr>
              <w:t xml:space="preserve">Conclude analysis of feedback from Member States, associated countries, stakeholders, and citizens. Prepare, propose and discuss </w:t>
            </w:r>
            <w:r>
              <w:rPr>
                <w:iCs/>
              </w:rPr>
              <w:t xml:space="preserve">the </w:t>
            </w:r>
            <w:proofErr w:type="spellStart"/>
            <w:r w:rsidRPr="00631B42">
              <w:rPr>
                <w:iCs/>
              </w:rPr>
              <w:t>SRIA</w:t>
            </w:r>
            <w:proofErr w:type="spellEnd"/>
            <w:r w:rsidRPr="00631B42">
              <w:rPr>
                <w:iCs/>
              </w:rPr>
              <w:t xml:space="preserve"> to </w:t>
            </w:r>
            <w:proofErr w:type="spellStart"/>
            <w:r w:rsidRPr="00631B42">
              <w:rPr>
                <w:iCs/>
              </w:rPr>
              <w:t>ERA4FutureWork</w:t>
            </w:r>
            <w:proofErr w:type="spellEnd"/>
            <w:r w:rsidRPr="00631B42">
              <w:rPr>
                <w:iCs/>
              </w:rPr>
              <w:t xml:space="preserve"> participants.</w:t>
            </w:r>
          </w:p>
          <w:p w14:paraId="75C7AFDB" w14:textId="77777777" w:rsidR="001977AC" w:rsidRPr="00631B42" w:rsidRDefault="001977AC" w:rsidP="001977AC">
            <w:pPr>
              <w:numPr>
                <w:ilvl w:val="0"/>
                <w:numId w:val="26"/>
              </w:numPr>
              <w:spacing w:after="120"/>
              <w:contextualSpacing/>
              <w:jc w:val="both"/>
            </w:pPr>
            <w:r w:rsidRPr="00631B42">
              <w:rPr>
                <w:iCs/>
              </w:rPr>
              <w:t xml:space="preserve">Publish </w:t>
            </w:r>
            <w:proofErr w:type="spellStart"/>
            <w:r w:rsidRPr="00631B42">
              <w:rPr>
                <w:iCs/>
              </w:rPr>
              <w:t>SRIA</w:t>
            </w:r>
            <w:proofErr w:type="spellEnd"/>
            <w:r w:rsidRPr="00631B42">
              <w:rPr>
                <w:iCs/>
              </w:rPr>
              <w:t xml:space="preserve"> </w:t>
            </w:r>
            <w:r>
              <w:rPr>
                <w:iCs/>
              </w:rPr>
              <w:t>and</w:t>
            </w:r>
            <w:r>
              <w:t xml:space="preserve"> </w:t>
            </w:r>
            <w:r>
              <w:rPr>
                <w:iCs/>
              </w:rPr>
              <w:t>o</w:t>
            </w:r>
            <w:r w:rsidRPr="00EF050F">
              <w:rPr>
                <w:iCs/>
              </w:rPr>
              <w:t>rganise a public event to reflect on the outcomes and discuss potential avenues for investment and implementation.</w:t>
            </w:r>
          </w:p>
          <w:p w14:paraId="08B2648A" w14:textId="77777777" w:rsidR="001977AC" w:rsidRPr="00631B42" w:rsidRDefault="001977AC" w:rsidP="007037E4">
            <w:pPr>
              <w:spacing w:after="120"/>
              <w:contextualSpacing/>
              <w:jc w:val="both"/>
              <w:rPr>
                <w:iCs/>
              </w:rPr>
            </w:pPr>
          </w:p>
          <w:p w14:paraId="3EC7BEE6" w14:textId="77777777" w:rsidR="001977AC" w:rsidRPr="00631B42" w:rsidRDefault="001977AC" w:rsidP="001977AC">
            <w:pPr>
              <w:numPr>
                <w:ilvl w:val="0"/>
                <w:numId w:val="26"/>
              </w:numPr>
              <w:spacing w:after="120"/>
              <w:contextualSpacing/>
              <w:jc w:val="both"/>
            </w:pPr>
            <w:r w:rsidRPr="00631B42">
              <w:rPr>
                <w:iCs/>
              </w:rPr>
              <w:t xml:space="preserve">Contribute to the European Commission's assessment for the ERA Policy Agenda and discuss with stakeholders </w:t>
            </w:r>
            <w:r>
              <w:rPr>
                <w:iCs/>
              </w:rPr>
              <w:t xml:space="preserve">a </w:t>
            </w:r>
            <w:r w:rsidRPr="00631B42">
              <w:rPr>
                <w:iCs/>
              </w:rPr>
              <w:t>potential continuation of exchange and collaboration, based on their feedback and lessons learned.</w:t>
            </w:r>
          </w:p>
        </w:tc>
      </w:tr>
      <w:tr w:rsidR="001977AC" w14:paraId="06A1ACCD" w14:textId="77777777" w:rsidTr="001977AC">
        <w:tc>
          <w:tcPr>
            <w:tcW w:w="2410" w:type="dxa"/>
          </w:tcPr>
          <w:p w14:paraId="07359ACE" w14:textId="77777777" w:rsidR="001977AC" w:rsidRPr="005A2F61" w:rsidRDefault="001977AC" w:rsidP="001977AC">
            <w:pPr>
              <w:pStyle w:val="ListParagraph"/>
              <w:numPr>
                <w:ilvl w:val="0"/>
                <w:numId w:val="10"/>
              </w:numPr>
              <w:spacing w:before="120" w:after="120"/>
              <w:rPr>
                <w:b/>
              </w:rPr>
            </w:pPr>
            <w:r w:rsidRPr="005A2F61">
              <w:rPr>
                <w:b/>
              </w:rPr>
              <w:lastRenderedPageBreak/>
              <w:t>Funding</w:t>
            </w:r>
          </w:p>
        </w:tc>
        <w:tc>
          <w:tcPr>
            <w:tcW w:w="8364" w:type="dxa"/>
          </w:tcPr>
          <w:p w14:paraId="2E8080CB" w14:textId="77777777" w:rsidR="001977AC" w:rsidRDefault="001977AC" w:rsidP="007037E4">
            <w:pPr>
              <w:spacing w:after="120"/>
              <w:contextualSpacing/>
              <w:jc w:val="both"/>
              <w:rPr>
                <w:rFonts w:ascii="Calibri" w:hAnsi="Calibri" w:cs="Calibri"/>
                <w:iCs/>
              </w:rPr>
            </w:pPr>
            <w:r>
              <w:rPr>
                <w:rFonts w:ascii="Calibri" w:hAnsi="Calibri" w:cs="Calibri"/>
                <w:iCs/>
              </w:rPr>
              <w:t xml:space="preserve">No significant investment is requested by MS, apart from engaging relevant national experts to attend meetings, share knowledge, provide feedback and guidance and co-draft the </w:t>
            </w:r>
            <w:proofErr w:type="spellStart"/>
            <w:r>
              <w:rPr>
                <w:rFonts w:ascii="Calibri" w:hAnsi="Calibri" w:cs="Calibri"/>
                <w:iCs/>
              </w:rPr>
              <w:t>SRIA</w:t>
            </w:r>
            <w:proofErr w:type="spellEnd"/>
            <w:r>
              <w:rPr>
                <w:rFonts w:ascii="Calibri" w:hAnsi="Calibri" w:cs="Calibri"/>
                <w:iCs/>
              </w:rPr>
              <w:t xml:space="preserve"> with the Commission, on a voluntary basis. Potential complementary national actions can be identified and linked to </w:t>
            </w:r>
            <w:proofErr w:type="spellStart"/>
            <w:r>
              <w:rPr>
                <w:rFonts w:ascii="Calibri" w:hAnsi="Calibri" w:cs="Calibri"/>
                <w:iCs/>
              </w:rPr>
              <w:t>ERA4FutureWork</w:t>
            </w:r>
            <w:proofErr w:type="spellEnd"/>
            <w:r>
              <w:rPr>
                <w:rFonts w:ascii="Calibri" w:hAnsi="Calibri" w:cs="Calibri"/>
                <w:iCs/>
              </w:rPr>
              <w:t>.</w:t>
            </w:r>
          </w:p>
          <w:p w14:paraId="12D9A8D1" w14:textId="77777777" w:rsidR="001977AC" w:rsidRDefault="001977AC" w:rsidP="007037E4">
            <w:pPr>
              <w:spacing w:after="120"/>
              <w:contextualSpacing/>
              <w:jc w:val="both"/>
              <w:rPr>
                <w:rFonts w:ascii="Calibri" w:hAnsi="Calibri" w:cs="Calibri"/>
                <w:iCs/>
              </w:rPr>
            </w:pPr>
          </w:p>
          <w:p w14:paraId="432E0ED3" w14:textId="77777777" w:rsidR="001977AC" w:rsidRPr="008F621A" w:rsidRDefault="001977AC" w:rsidP="007037E4">
            <w:pPr>
              <w:spacing w:after="120"/>
              <w:contextualSpacing/>
              <w:jc w:val="both"/>
              <w:rPr>
                <w:rFonts w:ascii="Calibri" w:eastAsiaTheme="minorEastAsia" w:hAnsi="Calibri" w:cs="Calibri"/>
                <w:iCs/>
              </w:rPr>
            </w:pPr>
            <w:r>
              <w:rPr>
                <w:rFonts w:ascii="Calibri" w:hAnsi="Calibri" w:cs="Calibri"/>
                <w:iCs/>
              </w:rPr>
              <w:t>Horizon Europe budget could provide "seed money" to:</w:t>
            </w:r>
          </w:p>
          <w:p w14:paraId="58FB97A2" w14:textId="77777777" w:rsidR="001977AC" w:rsidRPr="008F75FA" w:rsidRDefault="001977AC" w:rsidP="001977AC">
            <w:pPr>
              <w:pStyle w:val="ListParagraph"/>
              <w:numPr>
                <w:ilvl w:val="0"/>
                <w:numId w:val="27"/>
              </w:numPr>
              <w:spacing w:after="120"/>
              <w:jc w:val="both"/>
              <w:rPr>
                <w:rFonts w:ascii="Calibri" w:eastAsiaTheme="minorEastAsia" w:hAnsi="Calibri" w:cs="Calibri"/>
                <w:iCs/>
              </w:rPr>
            </w:pPr>
            <w:r w:rsidRPr="008F75FA">
              <w:rPr>
                <w:rFonts w:ascii="Calibri" w:hAnsi="Calibri" w:cs="Calibri"/>
                <w:iCs/>
              </w:rPr>
              <w:t xml:space="preserve">Design EU </w:t>
            </w:r>
            <w:r>
              <w:rPr>
                <w:rFonts w:ascii="Calibri" w:hAnsi="Calibri" w:cs="Calibri"/>
                <w:iCs/>
              </w:rPr>
              <w:t>&amp;</w:t>
            </w:r>
            <w:r w:rsidRPr="008F75FA">
              <w:rPr>
                <w:rFonts w:ascii="Calibri" w:hAnsi="Calibri" w:cs="Calibri"/>
                <w:iCs/>
              </w:rPr>
              <w:t xml:space="preserve"> MS analysis for </w:t>
            </w:r>
            <w:proofErr w:type="spellStart"/>
            <w:r w:rsidRPr="008F75FA">
              <w:rPr>
                <w:rFonts w:ascii="Calibri" w:hAnsi="Calibri" w:cs="Calibri"/>
                <w:iCs/>
              </w:rPr>
              <w:t>R&amp;I</w:t>
            </w:r>
            <w:proofErr w:type="spellEnd"/>
            <w:r w:rsidRPr="008F75FA">
              <w:rPr>
                <w:rFonts w:ascii="Calibri" w:hAnsi="Calibri" w:cs="Calibri"/>
                <w:iCs/>
              </w:rPr>
              <w:t xml:space="preserve"> a</w:t>
            </w:r>
            <w:r>
              <w:rPr>
                <w:rFonts w:ascii="Calibri" w:hAnsi="Calibri" w:cs="Calibri"/>
                <w:iCs/>
              </w:rPr>
              <w:t xml:space="preserve">ctions, </w:t>
            </w:r>
            <w:r w:rsidRPr="008F75FA">
              <w:rPr>
                <w:rFonts w:ascii="Calibri" w:hAnsi="Calibri" w:cs="Calibri"/>
                <w:iCs/>
              </w:rPr>
              <w:t xml:space="preserve">based </w:t>
            </w:r>
            <w:r>
              <w:rPr>
                <w:rFonts w:ascii="Calibri" w:hAnsi="Calibri" w:cs="Calibri"/>
                <w:iCs/>
              </w:rPr>
              <w:t>on but not limited to first EC portfolio analysis (experts).</w:t>
            </w:r>
          </w:p>
          <w:p w14:paraId="46F4F9AB" w14:textId="77777777" w:rsidR="001977AC" w:rsidRPr="008F75FA" w:rsidRDefault="001977AC" w:rsidP="001977AC">
            <w:pPr>
              <w:pStyle w:val="ListParagraph"/>
              <w:numPr>
                <w:ilvl w:val="0"/>
                <w:numId w:val="27"/>
              </w:numPr>
              <w:spacing w:after="120"/>
              <w:jc w:val="both"/>
              <w:rPr>
                <w:rFonts w:ascii="Calibri" w:eastAsiaTheme="minorEastAsia" w:hAnsi="Calibri" w:cs="Calibri"/>
                <w:iCs/>
              </w:rPr>
            </w:pPr>
            <w:r w:rsidRPr="008F75FA">
              <w:rPr>
                <w:rFonts w:ascii="Calibri" w:hAnsi="Calibri" w:cs="Calibri"/>
                <w:iCs/>
              </w:rPr>
              <w:t>Draft annual report</w:t>
            </w:r>
            <w:r>
              <w:rPr>
                <w:rFonts w:ascii="Calibri" w:hAnsi="Calibri" w:cs="Calibri"/>
                <w:iCs/>
              </w:rPr>
              <w:t>s</w:t>
            </w:r>
            <w:r w:rsidRPr="008F75FA">
              <w:rPr>
                <w:rFonts w:ascii="Calibri" w:hAnsi="Calibri" w:cs="Calibri"/>
                <w:iCs/>
              </w:rPr>
              <w:t xml:space="preserve"> </w:t>
            </w:r>
            <w:r>
              <w:rPr>
                <w:rFonts w:ascii="Calibri" w:hAnsi="Calibri" w:cs="Calibri"/>
                <w:iCs/>
              </w:rPr>
              <w:t>(EC &amp; experts).</w:t>
            </w:r>
          </w:p>
          <w:p w14:paraId="3F1AEA77" w14:textId="77777777" w:rsidR="001977AC" w:rsidRPr="00163DDA" w:rsidRDefault="001977AC" w:rsidP="001977AC">
            <w:pPr>
              <w:pStyle w:val="ListParagraph"/>
              <w:numPr>
                <w:ilvl w:val="0"/>
                <w:numId w:val="27"/>
              </w:numPr>
              <w:spacing w:after="120"/>
              <w:jc w:val="both"/>
              <w:rPr>
                <w:rFonts w:ascii="Calibri" w:eastAsiaTheme="minorEastAsia" w:hAnsi="Calibri" w:cs="Calibri"/>
                <w:iCs/>
              </w:rPr>
            </w:pPr>
            <w:r w:rsidRPr="008F75FA">
              <w:rPr>
                <w:rFonts w:ascii="Calibri" w:hAnsi="Calibri" w:cs="Calibri"/>
                <w:iCs/>
              </w:rPr>
              <w:t>Provide logistics to set up meetings</w:t>
            </w:r>
            <w:r>
              <w:rPr>
                <w:rFonts w:ascii="Calibri" w:hAnsi="Calibri" w:cs="Calibri"/>
                <w:iCs/>
              </w:rPr>
              <w:t xml:space="preserve"> &amp; events</w:t>
            </w:r>
            <w:r w:rsidRPr="008F75FA">
              <w:rPr>
                <w:rFonts w:ascii="Calibri" w:hAnsi="Calibri" w:cs="Calibri"/>
                <w:iCs/>
              </w:rPr>
              <w:t xml:space="preserve"> </w:t>
            </w:r>
            <w:r>
              <w:rPr>
                <w:rFonts w:ascii="Calibri" w:hAnsi="Calibri" w:cs="Calibri"/>
                <w:iCs/>
              </w:rPr>
              <w:t>as foreseen in the above</w:t>
            </w:r>
            <w:r w:rsidRPr="008F75FA">
              <w:rPr>
                <w:rFonts w:ascii="Calibri" w:hAnsi="Calibri" w:cs="Calibri"/>
                <w:iCs/>
              </w:rPr>
              <w:t xml:space="preserve"> </w:t>
            </w:r>
            <w:r>
              <w:rPr>
                <w:rFonts w:ascii="Calibri" w:hAnsi="Calibri" w:cs="Calibri"/>
                <w:iCs/>
              </w:rPr>
              <w:t>section.</w:t>
            </w:r>
          </w:p>
        </w:tc>
      </w:tr>
      <w:tr w:rsidR="001977AC" w14:paraId="7F5DA122" w14:textId="77777777" w:rsidTr="001977AC">
        <w:tc>
          <w:tcPr>
            <w:tcW w:w="2410" w:type="dxa"/>
          </w:tcPr>
          <w:p w14:paraId="036EF896" w14:textId="77777777" w:rsidR="001977AC" w:rsidRPr="005A2F61" w:rsidRDefault="001977AC" w:rsidP="001977AC">
            <w:pPr>
              <w:pStyle w:val="ListParagraph"/>
              <w:numPr>
                <w:ilvl w:val="0"/>
                <w:numId w:val="10"/>
              </w:numPr>
              <w:spacing w:before="120" w:after="120"/>
              <w:rPr>
                <w:b/>
              </w:rPr>
            </w:pPr>
            <w:r w:rsidRPr="005A2F61">
              <w:rPr>
                <w:b/>
              </w:rPr>
              <w:t>Expected impact</w:t>
            </w:r>
          </w:p>
        </w:tc>
        <w:tc>
          <w:tcPr>
            <w:tcW w:w="8364" w:type="dxa"/>
          </w:tcPr>
          <w:p w14:paraId="53434A3D" w14:textId="77777777" w:rsidR="001977AC" w:rsidRPr="00631B42" w:rsidRDefault="001977AC" w:rsidP="007037E4">
            <w:pPr>
              <w:spacing w:before="120" w:after="120"/>
              <w:jc w:val="both"/>
              <w:rPr>
                <w:rFonts w:ascii="Calibri" w:hAnsi="Calibri" w:cs="Calibri"/>
              </w:rPr>
            </w:pPr>
            <w:r w:rsidRPr="00631B42">
              <w:rPr>
                <w:rFonts w:ascii="Calibri" w:hAnsi="Calibri" w:cs="Calibri"/>
              </w:rPr>
              <w:t>Making substantiated policy choices requires significant input from inter</w:t>
            </w:r>
            <w:r>
              <w:rPr>
                <w:rFonts w:ascii="Calibri" w:hAnsi="Calibri" w:cs="Calibri"/>
              </w:rPr>
              <w:t>- and trans-</w:t>
            </w:r>
            <w:r w:rsidRPr="00631B42">
              <w:rPr>
                <w:rFonts w:ascii="Calibri" w:hAnsi="Calibri" w:cs="Calibri"/>
              </w:rPr>
              <w:t xml:space="preserve">disciplinary research, for which there exists great demand on all policy levels. Coordination between all levels to focus such </w:t>
            </w:r>
            <w:proofErr w:type="spellStart"/>
            <w:r w:rsidRPr="00631B42">
              <w:rPr>
                <w:rFonts w:ascii="Calibri" w:hAnsi="Calibri" w:cs="Calibri"/>
              </w:rPr>
              <w:t>R&amp;I</w:t>
            </w:r>
            <w:proofErr w:type="spellEnd"/>
            <w:r w:rsidRPr="00631B42">
              <w:rPr>
                <w:rFonts w:ascii="Calibri" w:hAnsi="Calibri" w:cs="Calibri"/>
              </w:rPr>
              <w:t xml:space="preserve"> efforts would be of great benefit to governments, </w:t>
            </w:r>
            <w:r>
              <w:rPr>
                <w:rFonts w:ascii="Calibri" w:hAnsi="Calibri" w:cs="Calibri"/>
              </w:rPr>
              <w:t>social partners</w:t>
            </w:r>
            <w:r w:rsidRPr="00631B42">
              <w:rPr>
                <w:rFonts w:ascii="Calibri" w:hAnsi="Calibri" w:cs="Calibri"/>
              </w:rPr>
              <w:t xml:space="preserve">, </w:t>
            </w:r>
            <w:r>
              <w:rPr>
                <w:rFonts w:ascii="Calibri" w:hAnsi="Calibri" w:cs="Calibri"/>
              </w:rPr>
              <w:t xml:space="preserve">researchers, </w:t>
            </w:r>
            <w:r w:rsidRPr="00631B42">
              <w:rPr>
                <w:rFonts w:ascii="Calibri" w:hAnsi="Calibri" w:cs="Calibri"/>
              </w:rPr>
              <w:t>funding agencies, workers and citizens alike:</w:t>
            </w:r>
          </w:p>
          <w:p w14:paraId="5783E565" w14:textId="77777777" w:rsidR="001977AC" w:rsidRPr="00631B42" w:rsidRDefault="001977AC" w:rsidP="001977AC">
            <w:pPr>
              <w:pStyle w:val="ListParagraph"/>
              <w:numPr>
                <w:ilvl w:val="0"/>
                <w:numId w:val="28"/>
              </w:numPr>
              <w:spacing w:before="120" w:after="120"/>
              <w:jc w:val="both"/>
            </w:pPr>
            <w:r w:rsidRPr="00631B42">
              <w:t xml:space="preserve">Through the policy dialogue, Member States and associated countries will have the opportunity to identify areas of joint interest, in which they can maximise the impact of </w:t>
            </w:r>
            <w:proofErr w:type="spellStart"/>
            <w:r w:rsidRPr="00631B42">
              <w:t>R&amp;I</w:t>
            </w:r>
            <w:proofErr w:type="spellEnd"/>
            <w:r w:rsidRPr="00631B42">
              <w:t xml:space="preserve"> through collaboration and further alignment. They will also gain increased clarity on </w:t>
            </w:r>
            <w:r>
              <w:t xml:space="preserve">potential </w:t>
            </w:r>
            <w:proofErr w:type="spellStart"/>
            <w:r>
              <w:t>R&amp;I</w:t>
            </w:r>
            <w:proofErr w:type="spellEnd"/>
            <w:r>
              <w:t xml:space="preserve"> disparities between MS or agree that some</w:t>
            </w:r>
            <w:r w:rsidRPr="00631B42">
              <w:t xml:space="preserve"> aspects are better dealt at a national or local level.</w:t>
            </w:r>
          </w:p>
          <w:p w14:paraId="7A04285B" w14:textId="77777777" w:rsidR="001977AC" w:rsidRPr="00631B42" w:rsidRDefault="001977AC" w:rsidP="001977AC">
            <w:pPr>
              <w:pStyle w:val="ListParagraph"/>
              <w:numPr>
                <w:ilvl w:val="0"/>
                <w:numId w:val="28"/>
              </w:numPr>
              <w:spacing w:before="120" w:after="120"/>
              <w:jc w:val="both"/>
            </w:pPr>
            <w:r w:rsidRPr="00631B42">
              <w:t xml:space="preserve">Policymakers and funding agencies at all levels will benefit from a comprehensive analysis of initiatives and gaps in existing research for the future of work. The </w:t>
            </w:r>
            <w:proofErr w:type="spellStart"/>
            <w:r w:rsidRPr="00631B42">
              <w:t>ERA4FutureWork</w:t>
            </w:r>
            <w:proofErr w:type="spellEnd"/>
            <w:r w:rsidRPr="00631B42">
              <w:t xml:space="preserve"> Strategic Research and Innovation Agenda can be a roadmap for investment decisions with the highest impact potential in years to come.</w:t>
            </w:r>
          </w:p>
          <w:p w14:paraId="0C8D3501" w14:textId="77777777" w:rsidR="001977AC" w:rsidRPr="00631B42" w:rsidRDefault="001977AC" w:rsidP="001977AC">
            <w:pPr>
              <w:pStyle w:val="ListParagraph"/>
              <w:numPr>
                <w:ilvl w:val="0"/>
                <w:numId w:val="28"/>
              </w:numPr>
              <w:spacing w:before="120" w:after="120"/>
              <w:jc w:val="both"/>
            </w:pPr>
            <w:r w:rsidRPr="00631B42">
              <w:t xml:space="preserve">Social partners and </w:t>
            </w:r>
            <w:proofErr w:type="spellStart"/>
            <w:r>
              <w:t>R&amp;I</w:t>
            </w:r>
            <w:proofErr w:type="spellEnd"/>
            <w:r>
              <w:t xml:space="preserve"> </w:t>
            </w:r>
            <w:r w:rsidRPr="00631B42">
              <w:t>stakeholders will be able to raise awareness and initiate dialogues with workers and employers, helping them adapt to ongoing and future changes (such as the digital and green transitions), ensuring that the competitiveness of Europe’s economy goes together with fairness and prosperity for its workers.</w:t>
            </w:r>
          </w:p>
          <w:p w14:paraId="20372A47" w14:textId="77777777" w:rsidR="001977AC" w:rsidRPr="00631B42" w:rsidRDefault="001977AC" w:rsidP="001977AC">
            <w:pPr>
              <w:pStyle w:val="ListParagraph"/>
              <w:numPr>
                <w:ilvl w:val="0"/>
                <w:numId w:val="28"/>
              </w:numPr>
              <w:spacing w:before="120" w:after="120"/>
              <w:jc w:val="both"/>
            </w:pPr>
            <w:r w:rsidRPr="00631B42">
              <w:t xml:space="preserve">The European Commission will be able to propose future investment priorities for the future of work to the dedicated comitology structures (for example, Horizon Europe), </w:t>
            </w:r>
            <w:r>
              <w:t>helping translate</w:t>
            </w:r>
            <w:r w:rsidRPr="00631B42">
              <w:t xml:space="preserve"> </w:t>
            </w:r>
            <w:proofErr w:type="spellStart"/>
            <w:r w:rsidRPr="00631B42">
              <w:t>R&amp;I</w:t>
            </w:r>
            <w:proofErr w:type="spellEnd"/>
            <w:r w:rsidRPr="00631B42">
              <w:t xml:space="preserve"> </w:t>
            </w:r>
            <w:r>
              <w:t>results into policies to the benefit of EU citizens and workers</w:t>
            </w:r>
            <w:r w:rsidRPr="00631B42">
              <w:t>.</w:t>
            </w:r>
          </w:p>
        </w:tc>
      </w:tr>
      <w:tr w:rsidR="001977AC" w14:paraId="1E6661BF" w14:textId="77777777" w:rsidTr="001977AC">
        <w:tc>
          <w:tcPr>
            <w:tcW w:w="2410" w:type="dxa"/>
          </w:tcPr>
          <w:p w14:paraId="45FB9029" w14:textId="77777777" w:rsidR="001977AC" w:rsidRPr="005A2F61" w:rsidRDefault="001977AC" w:rsidP="001977AC">
            <w:pPr>
              <w:pStyle w:val="ListParagraph"/>
              <w:numPr>
                <w:ilvl w:val="0"/>
                <w:numId w:val="10"/>
              </w:numPr>
              <w:spacing w:before="120" w:after="120"/>
              <w:rPr>
                <w:b/>
              </w:rPr>
            </w:pPr>
            <w:r w:rsidRPr="005A2F61">
              <w:rPr>
                <w:b/>
              </w:rPr>
              <w:t xml:space="preserve">Monitoring </w:t>
            </w:r>
          </w:p>
        </w:tc>
        <w:tc>
          <w:tcPr>
            <w:tcW w:w="8364" w:type="dxa"/>
          </w:tcPr>
          <w:p w14:paraId="5ED643A5" w14:textId="77777777" w:rsidR="001977AC" w:rsidRDefault="001977AC" w:rsidP="007037E4">
            <w:pPr>
              <w:spacing w:before="120" w:after="120"/>
              <w:jc w:val="both"/>
              <w:rPr>
                <w:rFonts w:ascii="Calibri" w:hAnsi="Calibri" w:cs="Calibri"/>
              </w:rPr>
            </w:pPr>
            <w:r>
              <w:rPr>
                <w:rFonts w:ascii="Calibri" w:hAnsi="Calibri" w:cs="Calibri"/>
              </w:rPr>
              <w:t xml:space="preserve">Monitoring progress in </w:t>
            </w:r>
            <w:proofErr w:type="spellStart"/>
            <w:r>
              <w:rPr>
                <w:rFonts w:ascii="Calibri" w:hAnsi="Calibri" w:cs="Calibri"/>
              </w:rPr>
              <w:t>ERA4FutureWork</w:t>
            </w:r>
            <w:proofErr w:type="spellEnd"/>
            <w:r>
              <w:rPr>
                <w:rFonts w:ascii="Calibri" w:hAnsi="Calibri" w:cs="Calibri"/>
              </w:rPr>
              <w:t xml:space="preserve"> can be achieved through Commission and Member State reporting on the achievement of the following milestones:</w:t>
            </w:r>
          </w:p>
          <w:p w14:paraId="5CEDE71C" w14:textId="77777777" w:rsidR="001977AC" w:rsidRPr="00AF3468" w:rsidRDefault="001977AC" w:rsidP="001977AC">
            <w:pPr>
              <w:pStyle w:val="ListParagraph"/>
              <w:numPr>
                <w:ilvl w:val="0"/>
                <w:numId w:val="29"/>
              </w:numPr>
              <w:spacing w:before="120" w:after="120"/>
              <w:jc w:val="both"/>
            </w:pPr>
            <w:r>
              <w:t>delivery of a</w:t>
            </w:r>
            <w:r w:rsidRPr="00AF3468">
              <w:t xml:space="preserve"> Strategic Research and Innovation Agenda for the Future of work</w:t>
            </w:r>
            <w:r>
              <w:t>.</w:t>
            </w:r>
            <w:r w:rsidRPr="00AF3468">
              <w:t xml:space="preserve"> </w:t>
            </w:r>
          </w:p>
          <w:p w14:paraId="2DC7F2AB" w14:textId="77777777" w:rsidR="001977AC" w:rsidRPr="00AF3468" w:rsidRDefault="001977AC" w:rsidP="001977AC">
            <w:pPr>
              <w:pStyle w:val="ListParagraph"/>
              <w:numPr>
                <w:ilvl w:val="0"/>
                <w:numId w:val="29"/>
              </w:numPr>
              <w:spacing w:before="120" w:after="120"/>
              <w:jc w:val="both"/>
            </w:pPr>
            <w:r w:rsidRPr="00AF3468">
              <w:t>extensive portfolio analysis and gap analysis on ongoing research at EU and national level</w:t>
            </w:r>
            <w:r>
              <w:t>s,</w:t>
            </w:r>
            <w:r w:rsidRPr="00AF3468">
              <w:t xml:space="preserve"> underpin</w:t>
            </w:r>
            <w:r>
              <w:t>ning</w:t>
            </w:r>
            <w:r w:rsidRPr="00AF3468">
              <w:t xml:space="preserve"> the </w:t>
            </w:r>
            <w:proofErr w:type="spellStart"/>
            <w:r w:rsidRPr="00AF3468">
              <w:t>SRIA</w:t>
            </w:r>
            <w:proofErr w:type="spellEnd"/>
            <w:r>
              <w:t>.</w:t>
            </w:r>
          </w:p>
          <w:p w14:paraId="6AB54743" w14:textId="77777777" w:rsidR="001977AC" w:rsidRDefault="001977AC" w:rsidP="001977AC">
            <w:pPr>
              <w:pStyle w:val="ListParagraph"/>
              <w:numPr>
                <w:ilvl w:val="0"/>
                <w:numId w:val="29"/>
              </w:numPr>
              <w:spacing w:before="120" w:after="120"/>
              <w:jc w:val="both"/>
            </w:pPr>
            <w:r w:rsidRPr="00AF3468">
              <w:t>high</w:t>
            </w:r>
            <w:r>
              <w:t>-</w:t>
            </w:r>
            <w:r w:rsidRPr="00AF3468">
              <w:t xml:space="preserve">level meetings between the Commission, Member States, social partners and stakeholders to develop, steer, analyse and discuss the research and priorities for the </w:t>
            </w:r>
            <w:r>
              <w:t>f</w:t>
            </w:r>
            <w:r w:rsidRPr="00AF3468">
              <w:t xml:space="preserve">uture of </w:t>
            </w:r>
            <w:r>
              <w:t>w</w:t>
            </w:r>
            <w:r w:rsidRPr="00AF3468">
              <w:t>ork</w:t>
            </w:r>
            <w:r>
              <w:t>.</w:t>
            </w:r>
          </w:p>
          <w:p w14:paraId="477BB792" w14:textId="77777777" w:rsidR="001977AC" w:rsidRPr="00AF3468" w:rsidRDefault="001977AC" w:rsidP="001977AC">
            <w:pPr>
              <w:pStyle w:val="ListParagraph"/>
              <w:numPr>
                <w:ilvl w:val="0"/>
                <w:numId w:val="29"/>
              </w:numPr>
              <w:spacing w:before="120" w:after="120"/>
              <w:jc w:val="both"/>
            </w:pPr>
            <w:r>
              <w:t>regular reporting by the Commission to the ERA Forum, regarding the action’s progress.</w:t>
            </w:r>
          </w:p>
          <w:p w14:paraId="703E3AE5" w14:textId="77777777" w:rsidR="001977AC" w:rsidRPr="00146C42" w:rsidRDefault="001977AC" w:rsidP="001977AC">
            <w:pPr>
              <w:pStyle w:val="ListParagraph"/>
              <w:numPr>
                <w:ilvl w:val="0"/>
                <w:numId w:val="29"/>
              </w:numPr>
              <w:spacing w:before="120" w:after="120"/>
              <w:jc w:val="both"/>
              <w:rPr>
                <w:color w:val="FF0000"/>
              </w:rPr>
            </w:pPr>
            <w:r>
              <w:t xml:space="preserve">A concluding </w:t>
            </w:r>
            <w:r w:rsidRPr="00AF3468">
              <w:t>high</w:t>
            </w:r>
            <w:r>
              <w:t>-</w:t>
            </w:r>
            <w:r w:rsidRPr="00AF3468">
              <w:t xml:space="preserve">level policy event to present the </w:t>
            </w:r>
            <w:proofErr w:type="spellStart"/>
            <w:r w:rsidRPr="00AF3468">
              <w:t>SRIA</w:t>
            </w:r>
            <w:proofErr w:type="spellEnd"/>
            <w:r w:rsidRPr="00AF3468">
              <w:t xml:space="preserve"> for the </w:t>
            </w:r>
            <w:r>
              <w:t>f</w:t>
            </w:r>
            <w:r w:rsidRPr="00AF3468">
              <w:t xml:space="preserve">uture of </w:t>
            </w:r>
            <w:r>
              <w:t>w</w:t>
            </w:r>
            <w:r w:rsidRPr="00AF3468">
              <w:t>ork to stakeholders and the public and discuss steps to bridge strategy and implementation.</w:t>
            </w:r>
          </w:p>
        </w:tc>
      </w:tr>
      <w:tr w:rsidR="001977AC" w14:paraId="4D427BAE" w14:textId="77777777" w:rsidTr="001977AC">
        <w:tc>
          <w:tcPr>
            <w:tcW w:w="2410" w:type="dxa"/>
          </w:tcPr>
          <w:p w14:paraId="58C0AE48" w14:textId="77777777" w:rsidR="001977AC" w:rsidRPr="005A2F61" w:rsidRDefault="001977AC" w:rsidP="001977AC">
            <w:pPr>
              <w:pStyle w:val="ListParagraph"/>
              <w:numPr>
                <w:ilvl w:val="0"/>
                <w:numId w:val="10"/>
              </w:numPr>
              <w:spacing w:before="120" w:after="120"/>
              <w:rPr>
                <w:b/>
              </w:rPr>
            </w:pPr>
            <w:r w:rsidRPr="005A2F61">
              <w:rPr>
                <w:b/>
              </w:rPr>
              <w:lastRenderedPageBreak/>
              <w:t>Communication</w:t>
            </w:r>
          </w:p>
        </w:tc>
        <w:tc>
          <w:tcPr>
            <w:tcW w:w="8364" w:type="dxa"/>
          </w:tcPr>
          <w:p w14:paraId="72EAEE73" w14:textId="77777777" w:rsidR="001977AC" w:rsidRDefault="001977AC" w:rsidP="007037E4">
            <w:pPr>
              <w:spacing w:before="120" w:after="120"/>
              <w:jc w:val="both"/>
              <w:rPr>
                <w:rFonts w:ascii="Calibri" w:hAnsi="Calibri" w:cs="Calibri"/>
              </w:rPr>
            </w:pPr>
            <w:r>
              <w:rPr>
                <w:rFonts w:ascii="Calibri" w:hAnsi="Calibri" w:cs="Calibri"/>
              </w:rPr>
              <w:t xml:space="preserve">The European Commission can ensure a range of communication actions as </w:t>
            </w:r>
            <w:proofErr w:type="spellStart"/>
            <w:r>
              <w:rPr>
                <w:rFonts w:ascii="Calibri" w:hAnsi="Calibri" w:cs="Calibri"/>
              </w:rPr>
              <w:t>ERA4FutureWork</w:t>
            </w:r>
            <w:proofErr w:type="spellEnd"/>
            <w:r>
              <w:rPr>
                <w:rFonts w:ascii="Calibri" w:hAnsi="Calibri" w:cs="Calibri"/>
              </w:rPr>
              <w:t xml:space="preserve"> unfolds, aligned with the consecutive milestones achieved.</w:t>
            </w:r>
          </w:p>
          <w:p w14:paraId="39CA9A01" w14:textId="77777777" w:rsidR="001977AC" w:rsidRDefault="001977AC" w:rsidP="007037E4">
            <w:pPr>
              <w:spacing w:before="120" w:after="120"/>
              <w:jc w:val="both"/>
              <w:rPr>
                <w:rFonts w:ascii="Calibri" w:hAnsi="Calibri" w:cs="Calibri"/>
              </w:rPr>
            </w:pPr>
            <w:r w:rsidRPr="00093AD5">
              <w:rPr>
                <w:rFonts w:ascii="Calibri" w:hAnsi="Calibri" w:cs="Calibri"/>
              </w:rPr>
              <w:t xml:space="preserve">This set of activities will be accompanied by a </w:t>
            </w:r>
            <w:r w:rsidRPr="0037259B">
              <w:rPr>
                <w:rFonts w:ascii="Calibri" w:hAnsi="Calibri" w:cs="Calibri"/>
                <w:b/>
              </w:rPr>
              <w:t>communication campaign</w:t>
            </w:r>
            <w:r w:rsidRPr="00093AD5">
              <w:rPr>
                <w:rFonts w:ascii="Calibri" w:hAnsi="Calibri" w:cs="Calibri"/>
              </w:rPr>
              <w:t xml:space="preserve"> </w:t>
            </w:r>
            <w:r>
              <w:rPr>
                <w:rFonts w:ascii="Calibri" w:hAnsi="Calibri" w:cs="Calibri"/>
              </w:rPr>
              <w:t xml:space="preserve">by DG </w:t>
            </w:r>
            <w:proofErr w:type="spellStart"/>
            <w:r>
              <w:rPr>
                <w:rFonts w:ascii="Calibri" w:hAnsi="Calibri" w:cs="Calibri"/>
              </w:rPr>
              <w:t>R&amp;I</w:t>
            </w:r>
            <w:proofErr w:type="spellEnd"/>
            <w:r>
              <w:rPr>
                <w:rFonts w:ascii="Calibri" w:hAnsi="Calibri" w:cs="Calibri"/>
              </w:rPr>
              <w:t xml:space="preserve"> and DG EMPL </w:t>
            </w:r>
            <w:r w:rsidRPr="00093AD5">
              <w:rPr>
                <w:rFonts w:ascii="Calibri" w:hAnsi="Calibri" w:cs="Calibri"/>
              </w:rPr>
              <w:t xml:space="preserve">over the whole year, including videos, </w:t>
            </w:r>
            <w:r>
              <w:rPr>
                <w:rFonts w:ascii="Calibri" w:hAnsi="Calibri" w:cs="Calibri"/>
              </w:rPr>
              <w:t>publications</w:t>
            </w:r>
            <w:r w:rsidRPr="00093AD5">
              <w:rPr>
                <w:rFonts w:ascii="Calibri" w:hAnsi="Calibri" w:cs="Calibri"/>
              </w:rPr>
              <w:t xml:space="preserve">, and </w:t>
            </w:r>
            <w:r>
              <w:rPr>
                <w:rFonts w:ascii="Calibri" w:hAnsi="Calibri" w:cs="Calibri"/>
              </w:rPr>
              <w:t>social media</w:t>
            </w:r>
            <w:r w:rsidRPr="00093AD5">
              <w:rPr>
                <w:rFonts w:ascii="Calibri" w:hAnsi="Calibri" w:cs="Calibri"/>
              </w:rPr>
              <w:t>, next to other dedicated events:</w:t>
            </w:r>
          </w:p>
          <w:p w14:paraId="2C82E551" w14:textId="77777777" w:rsidR="001977AC" w:rsidRPr="00AF3468" w:rsidRDefault="001977AC" w:rsidP="001977AC">
            <w:pPr>
              <w:pStyle w:val="ListParagraph"/>
              <w:numPr>
                <w:ilvl w:val="0"/>
                <w:numId w:val="30"/>
              </w:numPr>
              <w:spacing w:before="120" w:after="120"/>
              <w:jc w:val="both"/>
            </w:pPr>
            <w:r w:rsidRPr="00AF3468">
              <w:t xml:space="preserve">News items on corporate pages &amp; </w:t>
            </w:r>
            <w:r>
              <w:t xml:space="preserve">and article in </w:t>
            </w:r>
            <w:r w:rsidRPr="00AF3468">
              <w:t xml:space="preserve">Horizon </w:t>
            </w:r>
            <w:r>
              <w:t>M</w:t>
            </w:r>
            <w:r w:rsidRPr="00AF3468">
              <w:t>agazine</w:t>
            </w:r>
          </w:p>
          <w:p w14:paraId="34A41CCF" w14:textId="77777777" w:rsidR="001977AC" w:rsidRPr="00AF3468" w:rsidRDefault="001977AC" w:rsidP="001977AC">
            <w:pPr>
              <w:pStyle w:val="ListParagraph"/>
              <w:numPr>
                <w:ilvl w:val="0"/>
                <w:numId w:val="30"/>
              </w:numPr>
              <w:spacing w:before="120" w:after="120"/>
              <w:jc w:val="both"/>
            </w:pPr>
            <w:r w:rsidRPr="00AF3468">
              <w:t>Targeted use of short videos, fact</w:t>
            </w:r>
            <w:r>
              <w:t xml:space="preserve"> </w:t>
            </w:r>
            <w:r w:rsidRPr="00AF3468">
              <w:t xml:space="preserve">sheets or </w:t>
            </w:r>
            <w:r>
              <w:t xml:space="preserve">projects </w:t>
            </w:r>
            <w:r w:rsidRPr="00AF3468">
              <w:t xml:space="preserve">Results </w:t>
            </w:r>
            <w:r>
              <w:t>P</w:t>
            </w:r>
            <w:r w:rsidRPr="00AF3468">
              <w:t>ack</w:t>
            </w:r>
            <w:r>
              <w:t>,</w:t>
            </w:r>
            <w:r w:rsidRPr="00AF3468">
              <w:t xml:space="preserve"> depending on the content and message</w:t>
            </w:r>
          </w:p>
          <w:p w14:paraId="16F1F683" w14:textId="77777777" w:rsidR="001977AC" w:rsidRPr="00AF3468" w:rsidRDefault="001977AC" w:rsidP="001977AC">
            <w:pPr>
              <w:pStyle w:val="ListParagraph"/>
              <w:numPr>
                <w:ilvl w:val="0"/>
                <w:numId w:val="30"/>
              </w:numPr>
              <w:spacing w:before="120" w:after="120"/>
              <w:jc w:val="both"/>
            </w:pPr>
            <w:r w:rsidRPr="00AF3468">
              <w:t xml:space="preserve">Social media posts through corporate accounts (Twitter, </w:t>
            </w:r>
            <w:r>
              <w:t xml:space="preserve">Facebook, </w:t>
            </w:r>
            <w:r w:rsidRPr="00AF3468">
              <w:t>LinkedIn)</w:t>
            </w:r>
          </w:p>
          <w:p w14:paraId="5B8AB3BD" w14:textId="77777777" w:rsidR="001977AC" w:rsidRPr="00AF3468" w:rsidRDefault="001977AC" w:rsidP="001977AC">
            <w:pPr>
              <w:pStyle w:val="ListParagraph"/>
              <w:numPr>
                <w:ilvl w:val="0"/>
                <w:numId w:val="30"/>
              </w:numPr>
              <w:spacing w:before="120" w:after="120"/>
              <w:jc w:val="both"/>
            </w:pPr>
            <w:r w:rsidRPr="00AF3468">
              <w:t>Publication of annual reports (2022, 2023</w:t>
            </w:r>
            <w:r>
              <w:t>, 2024</w:t>
            </w:r>
            <w:r w:rsidRPr="00AF3468">
              <w:t xml:space="preserve">) &amp; </w:t>
            </w:r>
            <w:proofErr w:type="spellStart"/>
            <w:r w:rsidRPr="00AF3468">
              <w:t>SRIA</w:t>
            </w:r>
            <w:proofErr w:type="spellEnd"/>
            <w:r w:rsidRPr="00AF3468">
              <w:t xml:space="preserve"> (202</w:t>
            </w:r>
            <w:r>
              <w:t>4</w:t>
            </w:r>
            <w:r w:rsidRPr="00AF3468">
              <w:t>)</w:t>
            </w:r>
          </w:p>
          <w:p w14:paraId="731E43AE" w14:textId="77777777" w:rsidR="001977AC" w:rsidRPr="00AF3468" w:rsidRDefault="001977AC" w:rsidP="001977AC">
            <w:pPr>
              <w:pStyle w:val="ListParagraph"/>
              <w:numPr>
                <w:ilvl w:val="0"/>
                <w:numId w:val="30"/>
              </w:numPr>
              <w:spacing w:before="120" w:after="120"/>
              <w:jc w:val="both"/>
            </w:pPr>
            <w:r w:rsidRPr="00AF3468">
              <w:t>Policy session</w:t>
            </w:r>
            <w:r>
              <w:t>s</w:t>
            </w:r>
            <w:r w:rsidRPr="00AF3468">
              <w:t xml:space="preserve"> </w:t>
            </w:r>
            <w:r>
              <w:t xml:space="preserve">or presentations </w:t>
            </w:r>
            <w:r w:rsidRPr="00AF3468">
              <w:t xml:space="preserve">in the framework of the </w:t>
            </w:r>
            <w:r>
              <w:t xml:space="preserve">annual </w:t>
            </w:r>
            <w:r w:rsidRPr="00AF3468">
              <w:t xml:space="preserve">EU </w:t>
            </w:r>
            <w:proofErr w:type="spellStart"/>
            <w:r w:rsidRPr="00AF3468">
              <w:t>R&amp;I</w:t>
            </w:r>
            <w:proofErr w:type="spellEnd"/>
            <w:r w:rsidRPr="00AF3468">
              <w:t xml:space="preserve"> </w:t>
            </w:r>
            <w:r>
              <w:t>d</w:t>
            </w:r>
            <w:r w:rsidRPr="00AF3468">
              <w:t>ays</w:t>
            </w:r>
            <w:r>
              <w:t>, presidency events</w:t>
            </w:r>
            <w:r w:rsidRPr="002C794F">
              <w:t xml:space="preserve"> and </w:t>
            </w:r>
            <w:r>
              <w:t>relevant</w:t>
            </w:r>
            <w:r w:rsidRPr="002C794F">
              <w:t xml:space="preserve"> Council</w:t>
            </w:r>
            <w:r>
              <w:t xml:space="preserve"> &amp; EP</w:t>
            </w:r>
            <w:r w:rsidRPr="002C794F">
              <w:t xml:space="preserve"> meetings</w:t>
            </w:r>
          </w:p>
          <w:p w14:paraId="6B176B3C" w14:textId="77777777" w:rsidR="001977AC" w:rsidRDefault="001977AC" w:rsidP="001977AC">
            <w:pPr>
              <w:pStyle w:val="ListParagraph"/>
              <w:numPr>
                <w:ilvl w:val="0"/>
                <w:numId w:val="30"/>
              </w:numPr>
              <w:spacing w:before="120" w:after="120"/>
              <w:jc w:val="both"/>
            </w:pPr>
            <w:r w:rsidRPr="00AF3468">
              <w:t>High</w:t>
            </w:r>
            <w:r>
              <w:t>-</w:t>
            </w:r>
            <w:r w:rsidRPr="00AF3468">
              <w:t xml:space="preserve">level policy event at the end of </w:t>
            </w:r>
            <w:proofErr w:type="spellStart"/>
            <w:r w:rsidRPr="00AF3468">
              <w:t>ERA4FutureWork</w:t>
            </w:r>
            <w:proofErr w:type="spellEnd"/>
            <w:r w:rsidRPr="00AF3468">
              <w:t xml:space="preserve"> (202</w:t>
            </w:r>
            <w:r>
              <w:t>4</w:t>
            </w:r>
            <w:r w:rsidRPr="00AF3468">
              <w:t>)</w:t>
            </w:r>
          </w:p>
          <w:p w14:paraId="7C79D4E7" w14:textId="77777777" w:rsidR="001977AC" w:rsidRDefault="001977AC" w:rsidP="007037E4">
            <w:pPr>
              <w:spacing w:before="120" w:after="120"/>
            </w:pPr>
            <w:r w:rsidRPr="005630ED">
              <w:rPr>
                <w:b/>
              </w:rPr>
              <w:t>Upon official launch</w:t>
            </w:r>
            <w:r>
              <w:t xml:space="preserve">, DG </w:t>
            </w:r>
            <w:proofErr w:type="spellStart"/>
            <w:r>
              <w:t>R&amp;I</w:t>
            </w:r>
            <w:proofErr w:type="spellEnd"/>
            <w:r>
              <w:t xml:space="preserve"> and DG EMPL can promote </w:t>
            </w:r>
            <w:proofErr w:type="spellStart"/>
            <w:r>
              <w:t>ERA4FutureWork</w:t>
            </w:r>
            <w:proofErr w:type="spellEnd"/>
            <w:r>
              <w:t xml:space="preserve"> widely, for example through</w:t>
            </w:r>
            <w:r>
              <w:rPr>
                <w:rStyle w:val="FootnoteReference"/>
              </w:rPr>
              <w:footnoteReference w:id="13"/>
            </w:r>
            <w:r>
              <w:t>:</w:t>
            </w:r>
          </w:p>
          <w:p w14:paraId="68E9A8B6" w14:textId="77777777" w:rsidR="001977AC" w:rsidRDefault="001977AC" w:rsidP="001977AC">
            <w:pPr>
              <w:pStyle w:val="ListParagraph"/>
              <w:numPr>
                <w:ilvl w:val="0"/>
                <w:numId w:val="30"/>
              </w:numPr>
              <w:spacing w:before="120" w:after="120"/>
              <w:jc w:val="both"/>
            </w:pPr>
            <w:r>
              <w:t>A n</w:t>
            </w:r>
            <w:r w:rsidRPr="005630ED">
              <w:t xml:space="preserve">ews alert </w:t>
            </w:r>
            <w:r>
              <w:t>with Commissioner</w:t>
            </w:r>
            <w:r w:rsidRPr="005630ED">
              <w:t>s</w:t>
            </w:r>
            <w:r>
              <w:t>’</w:t>
            </w:r>
            <w:r w:rsidRPr="005630ED">
              <w:t xml:space="preserve"> quote</w:t>
            </w:r>
            <w:r>
              <w:t>,</w:t>
            </w:r>
            <w:r w:rsidRPr="005630ED">
              <w:t xml:space="preserve"> </w:t>
            </w:r>
            <w:r>
              <w:t>social media posts (e.g. GIF animated videos), short video clip by the Commissioner</w:t>
            </w:r>
          </w:p>
          <w:p w14:paraId="66FA45A0" w14:textId="77777777" w:rsidR="001977AC" w:rsidRDefault="001977AC" w:rsidP="001977AC">
            <w:pPr>
              <w:pStyle w:val="ListParagraph"/>
              <w:numPr>
                <w:ilvl w:val="0"/>
                <w:numId w:val="30"/>
              </w:numPr>
              <w:spacing w:before="120" w:after="120"/>
              <w:jc w:val="both"/>
            </w:pPr>
            <w:r>
              <w:t xml:space="preserve">Inclusion in the </w:t>
            </w:r>
            <w:proofErr w:type="spellStart"/>
            <w:r>
              <w:t>EIC</w:t>
            </w:r>
            <w:proofErr w:type="spellEnd"/>
            <w:r>
              <w:t>, JRC, Commissioner’s newsletters</w:t>
            </w:r>
          </w:p>
          <w:p w14:paraId="2A4E0077" w14:textId="77777777" w:rsidR="001977AC" w:rsidRDefault="001977AC" w:rsidP="001977AC">
            <w:pPr>
              <w:pStyle w:val="ListParagraph"/>
              <w:numPr>
                <w:ilvl w:val="0"/>
                <w:numId w:val="30"/>
              </w:numPr>
              <w:spacing w:before="120" w:after="120"/>
              <w:jc w:val="both"/>
            </w:pPr>
            <w:r>
              <w:t xml:space="preserve">Sharing the announcement with DG </w:t>
            </w:r>
            <w:proofErr w:type="spellStart"/>
            <w:r>
              <w:t>R&amp;I</w:t>
            </w:r>
            <w:proofErr w:type="spellEnd"/>
            <w:r>
              <w:t xml:space="preserve"> and DG EMPL stakeholders (for example relevant committees, new EU missions boards, EU partnerships, National Contact Points, relevant </w:t>
            </w:r>
            <w:proofErr w:type="spellStart"/>
            <w:r>
              <w:t>HEU</w:t>
            </w:r>
            <w:proofErr w:type="spellEnd"/>
            <w:r>
              <w:t xml:space="preserve"> &amp; </w:t>
            </w:r>
            <w:proofErr w:type="spellStart"/>
            <w:r>
              <w:t>H2020</w:t>
            </w:r>
            <w:proofErr w:type="spellEnd"/>
            <w:r>
              <w:t xml:space="preserve"> project partners in collaboration with Executive Agencies etc.)</w:t>
            </w:r>
            <w:r w:rsidRPr="002C794F">
              <w:t>,</w:t>
            </w:r>
            <w:r>
              <w:t xml:space="preserve"> </w:t>
            </w:r>
            <w:r w:rsidRPr="002C794F">
              <w:t>as well as</w:t>
            </w:r>
            <w:r>
              <w:t xml:space="preserve"> with EC &amp; EP representations in MS</w:t>
            </w:r>
          </w:p>
          <w:p w14:paraId="0D7499F1" w14:textId="77777777" w:rsidR="001977AC" w:rsidRPr="002B0871" w:rsidRDefault="001977AC" w:rsidP="007037E4">
            <w:pPr>
              <w:spacing w:before="120" w:after="120"/>
              <w:jc w:val="both"/>
              <w:rPr>
                <w:color w:val="FF0000"/>
              </w:rPr>
            </w:pPr>
            <w:r>
              <w:t>C</w:t>
            </w:r>
            <w:r w:rsidRPr="00AF3468">
              <w:t xml:space="preserve">ommunication actions by participating stakeholders </w:t>
            </w:r>
            <w:r>
              <w:t xml:space="preserve">at a national/local level will be possible, </w:t>
            </w:r>
            <w:r w:rsidRPr="00AF3468">
              <w:t>on a voluntary basis, based on their feedback,</w:t>
            </w:r>
            <w:r>
              <w:t xml:space="preserve"> and expressed interest</w:t>
            </w:r>
            <w:r w:rsidRPr="00AF3468">
              <w:t>.</w:t>
            </w:r>
          </w:p>
        </w:tc>
      </w:tr>
      <w:tr w:rsidR="001977AC" w14:paraId="5D1A3C56" w14:textId="77777777" w:rsidTr="001977AC">
        <w:tc>
          <w:tcPr>
            <w:tcW w:w="2410" w:type="dxa"/>
          </w:tcPr>
          <w:p w14:paraId="0A8FA6D8" w14:textId="77777777" w:rsidR="001977AC" w:rsidRPr="005A2F61" w:rsidRDefault="001977AC" w:rsidP="001977AC">
            <w:pPr>
              <w:pStyle w:val="ListParagraph"/>
              <w:numPr>
                <w:ilvl w:val="0"/>
                <w:numId w:val="10"/>
              </w:numPr>
              <w:spacing w:before="120" w:after="120"/>
              <w:rPr>
                <w:b/>
              </w:rPr>
            </w:pPr>
            <w:r w:rsidRPr="005A2F61">
              <w:rPr>
                <w:b/>
              </w:rPr>
              <w:t>Additional information</w:t>
            </w:r>
          </w:p>
        </w:tc>
        <w:tc>
          <w:tcPr>
            <w:tcW w:w="8364" w:type="dxa"/>
          </w:tcPr>
          <w:p w14:paraId="44005DC6" w14:textId="510416DB" w:rsidR="001977AC" w:rsidRPr="000B5371" w:rsidRDefault="001977AC" w:rsidP="007037E4">
            <w:pPr>
              <w:spacing w:before="120" w:after="120"/>
              <w:jc w:val="both"/>
            </w:pPr>
            <w:r>
              <w:t>---</w:t>
            </w:r>
          </w:p>
        </w:tc>
      </w:tr>
    </w:tbl>
    <w:p w14:paraId="3F726171" w14:textId="77777777" w:rsidR="001977AC" w:rsidRPr="001977AC" w:rsidRDefault="001977AC" w:rsidP="001977AC">
      <w:pPr>
        <w:jc w:val="center"/>
        <w:rPr>
          <w:u w:val="single"/>
        </w:rPr>
      </w:pPr>
    </w:p>
    <w:sectPr w:rsidR="001977AC" w:rsidRPr="001977A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787C6" w14:textId="77777777" w:rsidR="00740E54" w:rsidRDefault="00740E54" w:rsidP="00612C8D">
      <w:pPr>
        <w:spacing w:after="0" w:line="240" w:lineRule="auto"/>
      </w:pPr>
      <w:r>
        <w:separator/>
      </w:r>
    </w:p>
  </w:endnote>
  <w:endnote w:type="continuationSeparator" w:id="0">
    <w:p w14:paraId="325131FE" w14:textId="77777777" w:rsidR="00740E54" w:rsidRDefault="00740E54" w:rsidP="0061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Courier New&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676975"/>
      <w:docPartObj>
        <w:docPartGallery w:val="Page Numbers (Bottom of Page)"/>
        <w:docPartUnique/>
      </w:docPartObj>
    </w:sdtPr>
    <w:sdtEndPr>
      <w:rPr>
        <w:noProof/>
      </w:rPr>
    </w:sdtEndPr>
    <w:sdtContent>
      <w:p w14:paraId="0B5DFE93" w14:textId="0E979E33" w:rsidR="00612C8D" w:rsidRDefault="00612C8D">
        <w:pPr>
          <w:pStyle w:val="Footer"/>
          <w:jc w:val="center"/>
        </w:pPr>
        <w:r>
          <w:fldChar w:fldCharType="begin"/>
        </w:r>
        <w:r>
          <w:instrText xml:space="preserve"> PAGE   \* MERGEFORMAT </w:instrText>
        </w:r>
        <w:r>
          <w:fldChar w:fldCharType="separate"/>
        </w:r>
        <w:r w:rsidR="007065F1">
          <w:rPr>
            <w:noProof/>
          </w:rPr>
          <w:t>3</w:t>
        </w:r>
        <w:r>
          <w:rPr>
            <w:noProof/>
          </w:rPr>
          <w:fldChar w:fldCharType="end"/>
        </w:r>
      </w:p>
    </w:sdtContent>
  </w:sdt>
  <w:p w14:paraId="2FFC0A78" w14:textId="77777777" w:rsidR="00612C8D" w:rsidRDefault="00612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38360" w14:textId="77777777" w:rsidR="00740E54" w:rsidRDefault="00740E54" w:rsidP="00612C8D">
      <w:pPr>
        <w:spacing w:after="0" w:line="240" w:lineRule="auto"/>
      </w:pPr>
      <w:r>
        <w:separator/>
      </w:r>
    </w:p>
  </w:footnote>
  <w:footnote w:type="continuationSeparator" w:id="0">
    <w:p w14:paraId="1AD5F1C2" w14:textId="77777777" w:rsidR="00740E54" w:rsidRDefault="00740E54" w:rsidP="00612C8D">
      <w:pPr>
        <w:spacing w:after="0" w:line="240" w:lineRule="auto"/>
      </w:pPr>
      <w:r>
        <w:continuationSeparator/>
      </w:r>
    </w:p>
  </w:footnote>
  <w:footnote w:id="1">
    <w:p w14:paraId="165DF196" w14:textId="51CE06DC" w:rsidR="001977AC" w:rsidRPr="001977AC" w:rsidRDefault="001977AC">
      <w:pPr>
        <w:pStyle w:val="FootnoteText"/>
        <w:rPr>
          <w:lang w:val="en-US"/>
        </w:rPr>
      </w:pPr>
      <w:r>
        <w:rPr>
          <w:rStyle w:val="FootnoteReference"/>
        </w:rPr>
        <w:footnoteRef/>
      </w:r>
      <w:r>
        <w:t xml:space="preserve"> </w:t>
      </w:r>
      <w:r>
        <w:rPr>
          <w:lang w:val="en-IE"/>
        </w:rPr>
        <w:t>Please fill in these boxes.</w:t>
      </w:r>
    </w:p>
  </w:footnote>
  <w:footnote w:id="2">
    <w:p w14:paraId="090CE4B7" w14:textId="77777777" w:rsidR="001977AC" w:rsidRPr="009672E2" w:rsidRDefault="001977AC" w:rsidP="001977AC">
      <w:pPr>
        <w:pStyle w:val="FootnoteText"/>
      </w:pPr>
      <w:r>
        <w:rPr>
          <w:rStyle w:val="FootnoteReference"/>
        </w:rPr>
        <w:footnoteRef/>
      </w:r>
      <w:r>
        <w:t xml:space="preserve"> </w:t>
      </w:r>
      <w:r w:rsidRPr="009672E2">
        <w:t>C1 is recruiting one member for ERA SET Plan / name to be c</w:t>
      </w:r>
      <w:r>
        <w:t>onfirmed later /</w:t>
      </w:r>
    </w:p>
  </w:footnote>
  <w:footnote w:id="3">
    <w:p w14:paraId="4EAEEBA3" w14:textId="77777777" w:rsidR="001977AC" w:rsidRPr="005971BD" w:rsidRDefault="001977AC" w:rsidP="001977AC">
      <w:pPr>
        <w:pStyle w:val="FootnoteText"/>
        <w:ind w:left="142" w:hanging="142"/>
        <w:rPr>
          <w:lang w:val="en-US"/>
        </w:rPr>
      </w:pPr>
      <w:r>
        <w:rPr>
          <w:rStyle w:val="FootnoteReference"/>
        </w:rPr>
        <w:footnoteRef/>
      </w:r>
      <w:r>
        <w:tab/>
        <w:t>Clean Energy Transition co-fund Partnership under Horizon Europe (due for launch in 2022)</w:t>
      </w:r>
    </w:p>
  </w:footnote>
  <w:footnote w:id="4">
    <w:p w14:paraId="32449B92" w14:textId="77777777" w:rsidR="001977AC" w:rsidRPr="00176472" w:rsidRDefault="001977AC" w:rsidP="001977AC">
      <w:pPr>
        <w:pStyle w:val="FootnoteText"/>
        <w:rPr>
          <w:sz w:val="16"/>
          <w:szCs w:val="16"/>
        </w:rPr>
      </w:pPr>
      <w:r w:rsidRPr="00DF65F8">
        <w:rPr>
          <w:rStyle w:val="FootnoteReference"/>
        </w:rPr>
        <w:footnoteRef/>
      </w:r>
      <w:r w:rsidRPr="00DF65F8">
        <w:t xml:space="preserve"> </w:t>
      </w:r>
      <w:r w:rsidRPr="00176472">
        <w:rPr>
          <w:sz w:val="16"/>
          <w:szCs w:val="16"/>
        </w:rPr>
        <w:t xml:space="preserve">The changing nature of work and skills in the digital age – JRC report 2019; The new world of work - </w:t>
      </w:r>
      <w:proofErr w:type="spellStart"/>
      <w:r w:rsidRPr="00176472">
        <w:rPr>
          <w:sz w:val="16"/>
          <w:szCs w:val="16"/>
        </w:rPr>
        <w:t>ESDE</w:t>
      </w:r>
      <w:proofErr w:type="spellEnd"/>
      <w:r w:rsidRPr="00176472">
        <w:rPr>
          <w:sz w:val="16"/>
          <w:szCs w:val="16"/>
        </w:rPr>
        <w:t xml:space="preserve"> 2018, </w:t>
      </w:r>
      <w:hyperlink r:id="rId1" w:history="1">
        <w:r w:rsidRPr="00176472">
          <w:rPr>
            <w:rStyle w:val="Hyperlink"/>
            <w:sz w:val="16"/>
            <w:szCs w:val="16"/>
          </w:rPr>
          <w:t>https://</w:t>
        </w:r>
        <w:proofErr w:type="spellStart"/>
        <w:r w:rsidRPr="00176472">
          <w:rPr>
            <w:rStyle w:val="Hyperlink"/>
            <w:sz w:val="16"/>
            <w:szCs w:val="16"/>
          </w:rPr>
          <w:t>ec.europa.eu</w:t>
        </w:r>
        <w:proofErr w:type="spellEnd"/>
        <w:r w:rsidRPr="00176472">
          <w:rPr>
            <w:rStyle w:val="Hyperlink"/>
            <w:sz w:val="16"/>
            <w:szCs w:val="16"/>
          </w:rPr>
          <w:t>/social/</w:t>
        </w:r>
        <w:proofErr w:type="spellStart"/>
        <w:r w:rsidRPr="00176472">
          <w:rPr>
            <w:rStyle w:val="Hyperlink"/>
            <w:sz w:val="16"/>
            <w:szCs w:val="16"/>
          </w:rPr>
          <w:t>esde2018</w:t>
        </w:r>
        <w:proofErr w:type="spellEnd"/>
      </w:hyperlink>
      <w:r w:rsidRPr="00176472">
        <w:rPr>
          <w:sz w:val="16"/>
          <w:szCs w:val="16"/>
        </w:rPr>
        <w:t>.</w:t>
      </w:r>
    </w:p>
  </w:footnote>
  <w:footnote w:id="5">
    <w:p w14:paraId="0D10EBC3" w14:textId="77777777" w:rsidR="001977AC" w:rsidRPr="00176472" w:rsidRDefault="001977AC" w:rsidP="001977AC">
      <w:pPr>
        <w:spacing w:after="0" w:line="240" w:lineRule="auto"/>
        <w:rPr>
          <w:rFonts w:ascii="Calibri" w:hAnsi="Calibri" w:cs="Calibri"/>
          <w:sz w:val="16"/>
          <w:szCs w:val="16"/>
        </w:rPr>
      </w:pPr>
      <w:r w:rsidRPr="00176472">
        <w:rPr>
          <w:rStyle w:val="FootnoteReference"/>
        </w:rPr>
        <w:footnoteRef/>
      </w:r>
      <w:r w:rsidRPr="00176472">
        <w:rPr>
          <w:sz w:val="16"/>
          <w:szCs w:val="16"/>
        </w:rPr>
        <w:t xml:space="preserve"> The annual </w:t>
      </w:r>
      <w:hyperlink r:id="rId2" w:anchor="ESDE" w:history="1">
        <w:r w:rsidRPr="00176472">
          <w:rPr>
            <w:sz w:val="16"/>
            <w:szCs w:val="16"/>
          </w:rPr>
          <w:t xml:space="preserve">Employment and Social Developments in Europe </w:t>
        </w:r>
        <w:r>
          <w:rPr>
            <w:sz w:val="16"/>
            <w:szCs w:val="16"/>
          </w:rPr>
          <w:t>(</w:t>
        </w:r>
        <w:proofErr w:type="spellStart"/>
        <w:r>
          <w:rPr>
            <w:sz w:val="16"/>
            <w:szCs w:val="16"/>
          </w:rPr>
          <w:t>ESDE</w:t>
        </w:r>
        <w:proofErr w:type="spellEnd"/>
        <w:r>
          <w:rPr>
            <w:sz w:val="16"/>
            <w:szCs w:val="16"/>
          </w:rPr>
          <w:t xml:space="preserve">) </w:t>
        </w:r>
        <w:r w:rsidRPr="00176472">
          <w:rPr>
            <w:sz w:val="16"/>
            <w:szCs w:val="16"/>
          </w:rPr>
          <w:t>review</w:t>
        </w:r>
      </w:hyperlink>
      <w:r w:rsidRPr="00176472">
        <w:rPr>
          <w:sz w:val="16"/>
          <w:szCs w:val="16"/>
        </w:rPr>
        <w:t xml:space="preserve"> by </w:t>
      </w:r>
      <w:r>
        <w:rPr>
          <w:sz w:val="16"/>
          <w:szCs w:val="16"/>
        </w:rPr>
        <w:t xml:space="preserve"> </w:t>
      </w:r>
      <w:proofErr w:type="spellStart"/>
      <w:r>
        <w:rPr>
          <w:sz w:val="16"/>
          <w:szCs w:val="16"/>
        </w:rPr>
        <w:t>ESDE</w:t>
      </w:r>
      <w:proofErr w:type="spellEnd"/>
      <w:r>
        <w:rPr>
          <w:sz w:val="16"/>
          <w:szCs w:val="16"/>
        </w:rPr>
        <w:t xml:space="preserve"> 2020,</w:t>
      </w:r>
      <w:r w:rsidRPr="00176472">
        <w:rPr>
          <w:sz w:val="16"/>
          <w:szCs w:val="16"/>
        </w:rPr>
        <w:t xml:space="preserve"> </w:t>
      </w:r>
      <w:hyperlink r:id="rId3" w:history="1">
        <w:r w:rsidRPr="00176472">
          <w:rPr>
            <w:rStyle w:val="Hyperlink"/>
            <w:sz w:val="16"/>
            <w:szCs w:val="16"/>
          </w:rPr>
          <w:t>https://ec.europa.eu/social/main.jsp?langId=en&amp;catId=89&amp;newsId=10039&amp;furtherNews=yes</w:t>
        </w:r>
      </w:hyperlink>
      <w:r w:rsidRPr="00176472">
        <w:rPr>
          <w:sz w:val="16"/>
          <w:szCs w:val="16"/>
        </w:rPr>
        <w:t xml:space="preserve"> </w:t>
      </w:r>
    </w:p>
  </w:footnote>
  <w:footnote w:id="6">
    <w:p w14:paraId="5D315967" w14:textId="77777777" w:rsidR="001977AC" w:rsidRPr="00967F2B" w:rsidRDefault="001977AC" w:rsidP="001977AC">
      <w:pPr>
        <w:pStyle w:val="FootnoteText"/>
        <w:rPr>
          <w:sz w:val="16"/>
          <w:szCs w:val="16"/>
        </w:rPr>
      </w:pPr>
      <w:r w:rsidRPr="00967F2B">
        <w:rPr>
          <w:rStyle w:val="FootnoteReference"/>
        </w:rPr>
        <w:footnoteRef/>
      </w:r>
      <w:r w:rsidRPr="00967F2B">
        <w:rPr>
          <w:sz w:val="16"/>
          <w:szCs w:val="16"/>
        </w:rPr>
        <w:t xml:space="preserve"> https://ec.europa.eu/info/strategy/priorities-2019-2024/economy-works-people/jobs-growth-and-investment/european-pillar-social-rights_en</w:t>
      </w:r>
    </w:p>
  </w:footnote>
  <w:footnote w:id="7">
    <w:p w14:paraId="493F9BC9" w14:textId="77777777" w:rsidR="001977AC" w:rsidRPr="00B4112E" w:rsidRDefault="001977AC" w:rsidP="001977AC">
      <w:pPr>
        <w:pStyle w:val="FootnoteText"/>
        <w:rPr>
          <w:rFonts w:ascii="Calibri" w:hAnsi="Calibri" w:cs="Calibri"/>
          <w:sz w:val="16"/>
          <w:szCs w:val="18"/>
        </w:rPr>
      </w:pPr>
      <w:r w:rsidRPr="00696B2F">
        <w:rPr>
          <w:rStyle w:val="FootnoteReference"/>
          <w:rFonts w:ascii="Calibri" w:hAnsi="Calibri" w:cs="Calibri"/>
          <w:szCs w:val="18"/>
        </w:rPr>
        <w:footnoteRef/>
      </w:r>
      <w:r w:rsidRPr="00696B2F">
        <w:rPr>
          <w:rFonts w:ascii="Calibri" w:hAnsi="Calibri" w:cs="Calibri"/>
          <w:sz w:val="16"/>
          <w:szCs w:val="18"/>
        </w:rPr>
        <w:t xml:space="preserve"> Targets: (1) at least 78% of the population aged 20 to 64 should be in employment by 2030; (2) at least 60% of all adults should be participating in training every year by 2030 and (3) a reduction of at least 15 million in the number of people at risk of poverty or social exclusion</w:t>
      </w:r>
      <w:r>
        <w:rPr>
          <w:rFonts w:ascii="Calibri" w:hAnsi="Calibri" w:cs="Calibri"/>
          <w:sz w:val="16"/>
          <w:szCs w:val="18"/>
        </w:rPr>
        <w:t xml:space="preserve">. Cf. </w:t>
      </w:r>
      <w:hyperlink r:id="rId4" w:history="1">
        <w:r w:rsidRPr="00EF60B0">
          <w:rPr>
            <w:rStyle w:val="Hyperlink"/>
            <w:rFonts w:ascii="Calibri" w:hAnsi="Calibri" w:cs="Calibri"/>
            <w:sz w:val="16"/>
            <w:szCs w:val="18"/>
          </w:rPr>
          <w:t>https://ec.europa.eu/info/strategy/priorities-2019-2024/economy-works-people/jobs-growth-and-investment/european-pillar-social-rights/european-pillar-social-rights-action-plan_en</w:t>
        </w:r>
      </w:hyperlink>
      <w:r>
        <w:rPr>
          <w:rFonts w:ascii="Calibri" w:hAnsi="Calibri" w:cs="Calibri"/>
          <w:sz w:val="16"/>
          <w:szCs w:val="18"/>
        </w:rPr>
        <w:t xml:space="preserve"> </w:t>
      </w:r>
    </w:p>
  </w:footnote>
  <w:footnote w:id="8">
    <w:p w14:paraId="28483FEB" w14:textId="77777777" w:rsidR="001977AC" w:rsidRDefault="001977AC" w:rsidP="001977AC">
      <w:pPr>
        <w:pStyle w:val="FootnoteText"/>
      </w:pPr>
      <w:r w:rsidRPr="00696B2F">
        <w:rPr>
          <w:rStyle w:val="FootnoteReference"/>
          <w:rFonts w:ascii="Calibri" w:hAnsi="Calibri" w:cs="Calibri"/>
          <w:szCs w:val="18"/>
        </w:rPr>
        <w:footnoteRef/>
      </w:r>
      <w:r w:rsidRPr="00696B2F">
        <w:rPr>
          <w:rFonts w:ascii="Calibri" w:hAnsi="Calibri" w:cs="Calibri"/>
          <w:sz w:val="16"/>
          <w:szCs w:val="18"/>
        </w:rPr>
        <w:t xml:space="preserve"> Signature dates of projects in this analysis range from July 2014 to February 2021</w:t>
      </w:r>
      <w:r>
        <w:rPr>
          <w:rFonts w:ascii="Calibri" w:hAnsi="Calibri" w:cs="Calibri"/>
          <w:sz w:val="16"/>
          <w:szCs w:val="18"/>
        </w:rPr>
        <w:t>.</w:t>
      </w:r>
    </w:p>
  </w:footnote>
  <w:footnote w:id="9">
    <w:p w14:paraId="76C8E24D" w14:textId="77777777" w:rsidR="001977AC" w:rsidRPr="00176472" w:rsidRDefault="001977AC" w:rsidP="001977AC">
      <w:pPr>
        <w:pStyle w:val="FootnoteText"/>
        <w:rPr>
          <w:sz w:val="16"/>
          <w:szCs w:val="16"/>
        </w:rPr>
      </w:pPr>
      <w:r>
        <w:rPr>
          <w:rStyle w:val="FootnoteReference"/>
        </w:rPr>
        <w:footnoteRef/>
      </w:r>
      <w:r>
        <w:t xml:space="preserve"> </w:t>
      </w:r>
      <w:r w:rsidRPr="00176472">
        <w:rPr>
          <w:sz w:val="16"/>
          <w:szCs w:val="16"/>
        </w:rPr>
        <w:t xml:space="preserve">Based on the groundwork done by the </w:t>
      </w:r>
      <w:proofErr w:type="spellStart"/>
      <w:r w:rsidRPr="00176472">
        <w:rPr>
          <w:sz w:val="16"/>
          <w:szCs w:val="16"/>
        </w:rPr>
        <w:t>Servoz</w:t>
      </w:r>
      <w:proofErr w:type="spellEnd"/>
      <w:r w:rsidRPr="00176472">
        <w:rPr>
          <w:sz w:val="16"/>
          <w:szCs w:val="16"/>
        </w:rPr>
        <w:t xml:space="preserve">-report, the </w:t>
      </w:r>
      <w:proofErr w:type="spellStart"/>
      <w:r w:rsidRPr="00176472">
        <w:rPr>
          <w:sz w:val="16"/>
          <w:szCs w:val="16"/>
        </w:rPr>
        <w:t>HLG</w:t>
      </w:r>
      <w:proofErr w:type="spellEnd"/>
      <w:r w:rsidRPr="00176472">
        <w:rPr>
          <w:sz w:val="16"/>
          <w:szCs w:val="16"/>
        </w:rPr>
        <w:t xml:space="preserve"> on the Future of Work, reports by stakeholders (including social partners), actions of think-tanks etc. </w:t>
      </w:r>
    </w:p>
  </w:footnote>
  <w:footnote w:id="10">
    <w:p w14:paraId="139E8C33" w14:textId="77777777" w:rsidR="001977AC" w:rsidRPr="00176472" w:rsidRDefault="001977AC" w:rsidP="001977AC">
      <w:pPr>
        <w:pStyle w:val="FootnoteText"/>
        <w:rPr>
          <w:sz w:val="16"/>
          <w:szCs w:val="16"/>
          <w:lang w:val="en-IE"/>
        </w:rPr>
      </w:pPr>
      <w:r w:rsidRPr="00176472">
        <w:rPr>
          <w:rStyle w:val="FootnoteReference"/>
        </w:rPr>
        <w:footnoteRef/>
      </w:r>
      <w:r w:rsidRPr="00176472">
        <w:rPr>
          <w:sz w:val="16"/>
          <w:szCs w:val="16"/>
        </w:rPr>
        <w:t xml:space="preserve"> </w:t>
      </w:r>
      <w:hyperlink r:id="rId5" w:history="1">
        <w:r w:rsidRPr="00176472">
          <w:rPr>
            <w:rStyle w:val="Hyperlink"/>
            <w:sz w:val="16"/>
            <w:szCs w:val="16"/>
          </w:rPr>
          <w:t>https://ec.europa.eu/info/strategy/priorities-2019-2024/economy-works-people/jobs-growth-and-investment/european-pillar-social-rights/european-pillar-social-rights-20-principles_en</w:t>
        </w:r>
      </w:hyperlink>
      <w:r w:rsidRPr="00176472">
        <w:rPr>
          <w:sz w:val="16"/>
          <w:szCs w:val="16"/>
        </w:rPr>
        <w:t xml:space="preserve"> </w:t>
      </w:r>
    </w:p>
  </w:footnote>
  <w:footnote w:id="11">
    <w:p w14:paraId="44754D7B" w14:textId="77777777" w:rsidR="001977AC" w:rsidRPr="00176472" w:rsidRDefault="001977AC" w:rsidP="001977AC">
      <w:pPr>
        <w:pStyle w:val="FootnoteText"/>
        <w:rPr>
          <w:sz w:val="16"/>
          <w:szCs w:val="16"/>
          <w:lang w:val="en-IE"/>
        </w:rPr>
      </w:pPr>
      <w:r w:rsidRPr="00176472">
        <w:rPr>
          <w:rStyle w:val="FootnoteReference"/>
        </w:rPr>
        <w:footnoteRef/>
      </w:r>
      <w:r w:rsidRPr="00176472">
        <w:rPr>
          <w:sz w:val="16"/>
          <w:szCs w:val="16"/>
        </w:rPr>
        <w:t xml:space="preserve"> </w:t>
      </w:r>
      <w:hyperlink r:id="rId6" w:history="1">
        <w:r w:rsidRPr="00176472">
          <w:rPr>
            <w:rStyle w:val="Hyperlink"/>
            <w:sz w:val="16"/>
            <w:szCs w:val="16"/>
          </w:rPr>
          <w:t>https://op.europa.eu/webpub/empl/european-pillar-of-social-rights/en/</w:t>
        </w:r>
      </w:hyperlink>
      <w:r w:rsidRPr="00176472">
        <w:rPr>
          <w:sz w:val="16"/>
          <w:szCs w:val="16"/>
        </w:rPr>
        <w:t xml:space="preserve"> </w:t>
      </w:r>
    </w:p>
  </w:footnote>
  <w:footnote w:id="12">
    <w:p w14:paraId="632A3010" w14:textId="77777777" w:rsidR="001977AC" w:rsidRPr="00176472" w:rsidRDefault="001977AC" w:rsidP="001977AC">
      <w:pPr>
        <w:pStyle w:val="FootnoteText"/>
        <w:rPr>
          <w:sz w:val="16"/>
          <w:szCs w:val="16"/>
          <w:lang w:val="en-IE"/>
        </w:rPr>
      </w:pPr>
      <w:r w:rsidRPr="00176472">
        <w:rPr>
          <w:rStyle w:val="FootnoteReference"/>
        </w:rPr>
        <w:footnoteRef/>
      </w:r>
      <w:r w:rsidRPr="00176472">
        <w:rPr>
          <w:sz w:val="16"/>
          <w:szCs w:val="16"/>
        </w:rPr>
        <w:t xml:space="preserve"> </w:t>
      </w:r>
      <w:hyperlink r:id="rId7" w:history="1">
        <w:r w:rsidRPr="00176472">
          <w:rPr>
            <w:rStyle w:val="Hyperlink"/>
            <w:sz w:val="16"/>
            <w:szCs w:val="16"/>
          </w:rPr>
          <w:t>https://ec.europa.eu/info/sites/default/files/research_and_innovation/funding/documents/ec_rtd_horizon-europe-strategic-plan-2021-24.pdf</w:t>
        </w:r>
      </w:hyperlink>
      <w:r w:rsidRPr="00176472">
        <w:rPr>
          <w:sz w:val="16"/>
          <w:szCs w:val="16"/>
        </w:rPr>
        <w:t xml:space="preserve"> </w:t>
      </w:r>
    </w:p>
  </w:footnote>
  <w:footnote w:id="13">
    <w:p w14:paraId="6482C17C" w14:textId="77777777" w:rsidR="001977AC" w:rsidRPr="002B6DD0" w:rsidRDefault="001977AC" w:rsidP="001977AC">
      <w:pPr>
        <w:pStyle w:val="FootnoteText"/>
        <w:rPr>
          <w:lang w:val="en-IE"/>
        </w:rPr>
      </w:pPr>
      <w:r>
        <w:rPr>
          <w:rStyle w:val="FootnoteReference"/>
        </w:rPr>
        <w:footnoteRef/>
      </w:r>
      <w:r>
        <w:t xml:space="preserve"> </w:t>
      </w:r>
      <w:r>
        <w:rPr>
          <w:lang w:val="en-IE"/>
        </w:rPr>
        <w:t>The list is indicative.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17A62"/>
    <w:multiLevelType w:val="hybridMultilevel"/>
    <w:tmpl w:val="BE12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F42E9"/>
    <w:multiLevelType w:val="hybridMultilevel"/>
    <w:tmpl w:val="3EBC2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95D75"/>
    <w:multiLevelType w:val="hybridMultilevel"/>
    <w:tmpl w:val="412A5868"/>
    <w:lvl w:ilvl="0" w:tplc="A31A8A6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37A06"/>
    <w:multiLevelType w:val="hybridMultilevel"/>
    <w:tmpl w:val="FFFFFFFF"/>
    <w:lvl w:ilvl="0" w:tplc="3A460382">
      <w:start w:val="1"/>
      <w:numFmt w:val="decimal"/>
      <w:lvlText w:val="%1."/>
      <w:lvlJc w:val="left"/>
      <w:pPr>
        <w:ind w:left="720" w:hanging="360"/>
      </w:pPr>
    </w:lvl>
    <w:lvl w:ilvl="1" w:tplc="0C6AAEF0">
      <w:start w:val="1"/>
      <w:numFmt w:val="lowerLetter"/>
      <w:lvlText w:val="%2."/>
      <w:lvlJc w:val="left"/>
      <w:pPr>
        <w:ind w:left="1440" w:hanging="360"/>
      </w:pPr>
    </w:lvl>
    <w:lvl w:ilvl="2" w:tplc="A6881810">
      <w:start w:val="1"/>
      <w:numFmt w:val="lowerRoman"/>
      <w:lvlText w:val="%3."/>
      <w:lvlJc w:val="right"/>
      <w:pPr>
        <w:ind w:left="2160" w:hanging="180"/>
      </w:pPr>
    </w:lvl>
    <w:lvl w:ilvl="3" w:tplc="784ECB6A">
      <w:start w:val="1"/>
      <w:numFmt w:val="decimal"/>
      <w:lvlText w:val="%4."/>
      <w:lvlJc w:val="left"/>
      <w:pPr>
        <w:ind w:left="2880" w:hanging="360"/>
      </w:pPr>
    </w:lvl>
    <w:lvl w:ilvl="4" w:tplc="46768D72">
      <w:start w:val="1"/>
      <w:numFmt w:val="lowerLetter"/>
      <w:lvlText w:val="%5."/>
      <w:lvlJc w:val="left"/>
      <w:pPr>
        <w:ind w:left="3600" w:hanging="360"/>
      </w:pPr>
    </w:lvl>
    <w:lvl w:ilvl="5" w:tplc="DCB80F5E">
      <w:start w:val="1"/>
      <w:numFmt w:val="lowerRoman"/>
      <w:lvlText w:val="%6."/>
      <w:lvlJc w:val="right"/>
      <w:pPr>
        <w:ind w:left="4320" w:hanging="180"/>
      </w:pPr>
    </w:lvl>
    <w:lvl w:ilvl="6" w:tplc="FFCE4712">
      <w:start w:val="1"/>
      <w:numFmt w:val="decimal"/>
      <w:lvlText w:val="%7."/>
      <w:lvlJc w:val="left"/>
      <w:pPr>
        <w:ind w:left="5040" w:hanging="360"/>
      </w:pPr>
    </w:lvl>
    <w:lvl w:ilvl="7" w:tplc="FFDE6F54">
      <w:start w:val="1"/>
      <w:numFmt w:val="lowerLetter"/>
      <w:lvlText w:val="%8."/>
      <w:lvlJc w:val="left"/>
      <w:pPr>
        <w:ind w:left="5760" w:hanging="360"/>
      </w:pPr>
    </w:lvl>
    <w:lvl w:ilvl="8" w:tplc="7ED8BAB4">
      <w:start w:val="1"/>
      <w:numFmt w:val="lowerRoman"/>
      <w:lvlText w:val="%9."/>
      <w:lvlJc w:val="right"/>
      <w:pPr>
        <w:ind w:left="6480" w:hanging="180"/>
      </w:pPr>
    </w:lvl>
  </w:abstractNum>
  <w:abstractNum w:abstractNumId="4" w15:restartNumberingAfterBreak="0">
    <w:nsid w:val="2EED0003"/>
    <w:multiLevelType w:val="hybridMultilevel"/>
    <w:tmpl w:val="3D10FA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02361E3"/>
    <w:multiLevelType w:val="hybridMultilevel"/>
    <w:tmpl w:val="55BEE006"/>
    <w:lvl w:ilvl="0" w:tplc="DA14DACC">
      <w:start w:val="1"/>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D803B0"/>
    <w:multiLevelType w:val="hybridMultilevel"/>
    <w:tmpl w:val="6A581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FA49FC"/>
    <w:multiLevelType w:val="hybridMultilevel"/>
    <w:tmpl w:val="2E303BA2"/>
    <w:lvl w:ilvl="0" w:tplc="080C0015">
      <w:start w:val="1"/>
      <w:numFmt w:val="upperLetter"/>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7050ABE"/>
    <w:multiLevelType w:val="hybridMultilevel"/>
    <w:tmpl w:val="EE32A540"/>
    <w:lvl w:ilvl="0" w:tplc="08090001">
      <w:start w:val="1"/>
      <w:numFmt w:val="bullet"/>
      <w:lvlText w:val=""/>
      <w:lvlJc w:val="left"/>
      <w:pPr>
        <w:ind w:left="360" w:hanging="360"/>
      </w:pPr>
      <w:rPr>
        <w:rFonts w:ascii="Symbol" w:hAnsi="Symbol" w:hint="default"/>
      </w:rPr>
    </w:lvl>
    <w:lvl w:ilvl="1" w:tplc="A288DD28">
      <w:start w:val="1"/>
      <w:numFmt w:val="bullet"/>
      <w:lvlText w:val="o"/>
      <w:lvlJc w:val="left"/>
      <w:pPr>
        <w:ind w:left="1080" w:hanging="360"/>
      </w:pPr>
      <w:rPr>
        <w:rFonts w:ascii="Courier New" w:hAnsi="Courier New" w:hint="default"/>
      </w:rPr>
    </w:lvl>
    <w:lvl w:ilvl="2" w:tplc="F96A0780">
      <w:start w:val="1"/>
      <w:numFmt w:val="bullet"/>
      <w:lvlText w:val=""/>
      <w:lvlJc w:val="left"/>
      <w:pPr>
        <w:ind w:left="1800" w:hanging="360"/>
      </w:pPr>
      <w:rPr>
        <w:rFonts w:ascii="Wingdings" w:hAnsi="Wingdings" w:hint="default"/>
      </w:rPr>
    </w:lvl>
    <w:lvl w:ilvl="3" w:tplc="F56E265E">
      <w:start w:val="1"/>
      <w:numFmt w:val="bullet"/>
      <w:lvlText w:val=""/>
      <w:lvlJc w:val="left"/>
      <w:pPr>
        <w:ind w:left="2520" w:hanging="360"/>
      </w:pPr>
      <w:rPr>
        <w:rFonts w:ascii="Symbol" w:hAnsi="Symbol" w:hint="default"/>
      </w:rPr>
    </w:lvl>
    <w:lvl w:ilvl="4" w:tplc="61521704">
      <w:start w:val="1"/>
      <w:numFmt w:val="bullet"/>
      <w:lvlText w:val="o"/>
      <w:lvlJc w:val="left"/>
      <w:pPr>
        <w:ind w:left="3240" w:hanging="360"/>
      </w:pPr>
      <w:rPr>
        <w:rFonts w:ascii="Courier New" w:hAnsi="Courier New" w:hint="default"/>
      </w:rPr>
    </w:lvl>
    <w:lvl w:ilvl="5" w:tplc="3A5C4EEA">
      <w:start w:val="1"/>
      <w:numFmt w:val="bullet"/>
      <w:lvlText w:val=""/>
      <w:lvlJc w:val="left"/>
      <w:pPr>
        <w:ind w:left="3960" w:hanging="360"/>
      </w:pPr>
      <w:rPr>
        <w:rFonts w:ascii="Wingdings" w:hAnsi="Wingdings" w:hint="default"/>
      </w:rPr>
    </w:lvl>
    <w:lvl w:ilvl="6" w:tplc="0052C3C4">
      <w:start w:val="1"/>
      <w:numFmt w:val="bullet"/>
      <w:lvlText w:val=""/>
      <w:lvlJc w:val="left"/>
      <w:pPr>
        <w:ind w:left="4680" w:hanging="360"/>
      </w:pPr>
      <w:rPr>
        <w:rFonts w:ascii="Symbol" w:hAnsi="Symbol" w:hint="default"/>
      </w:rPr>
    </w:lvl>
    <w:lvl w:ilvl="7" w:tplc="C62AD0B6">
      <w:start w:val="1"/>
      <w:numFmt w:val="bullet"/>
      <w:lvlText w:val="o"/>
      <w:lvlJc w:val="left"/>
      <w:pPr>
        <w:ind w:left="5400" w:hanging="360"/>
      </w:pPr>
      <w:rPr>
        <w:rFonts w:ascii="Courier New" w:hAnsi="Courier New" w:hint="default"/>
      </w:rPr>
    </w:lvl>
    <w:lvl w:ilvl="8" w:tplc="7252151C">
      <w:start w:val="1"/>
      <w:numFmt w:val="bullet"/>
      <w:lvlText w:val=""/>
      <w:lvlJc w:val="left"/>
      <w:pPr>
        <w:ind w:left="6120" w:hanging="360"/>
      </w:pPr>
      <w:rPr>
        <w:rFonts w:ascii="Wingdings" w:hAnsi="Wingdings" w:hint="default"/>
      </w:rPr>
    </w:lvl>
  </w:abstractNum>
  <w:abstractNum w:abstractNumId="9" w15:restartNumberingAfterBreak="0">
    <w:nsid w:val="389A1CDF"/>
    <w:multiLevelType w:val="hybridMultilevel"/>
    <w:tmpl w:val="A662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55687F"/>
    <w:multiLevelType w:val="hybridMultilevel"/>
    <w:tmpl w:val="3D10F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1B7655"/>
    <w:multiLevelType w:val="hybridMultilevel"/>
    <w:tmpl w:val="02AE4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12E6C"/>
    <w:multiLevelType w:val="hybridMultilevel"/>
    <w:tmpl w:val="2FD21052"/>
    <w:lvl w:ilvl="0" w:tplc="5AD4F116">
      <w:start w:val="1"/>
      <w:numFmt w:val="bullet"/>
      <w:lvlText w:val=""/>
      <w:lvlJc w:val="left"/>
      <w:pPr>
        <w:ind w:left="720" w:hanging="360"/>
      </w:pPr>
      <w:rPr>
        <w:rFonts w:ascii="Symbol" w:hAnsi="Symbol" w:hint="default"/>
      </w:rPr>
    </w:lvl>
    <w:lvl w:ilvl="1" w:tplc="872E5F84">
      <w:start w:val="1"/>
      <w:numFmt w:val="bullet"/>
      <w:lvlText w:val="o"/>
      <w:lvlJc w:val="left"/>
      <w:pPr>
        <w:ind w:left="1440" w:hanging="360"/>
      </w:pPr>
      <w:rPr>
        <w:rFonts w:ascii="Courier New" w:hAnsi="Courier New" w:hint="default"/>
      </w:rPr>
    </w:lvl>
    <w:lvl w:ilvl="2" w:tplc="B42C6C80">
      <w:start w:val="1"/>
      <w:numFmt w:val="bullet"/>
      <w:lvlText w:val=""/>
      <w:lvlJc w:val="left"/>
      <w:pPr>
        <w:ind w:left="2160" w:hanging="360"/>
      </w:pPr>
      <w:rPr>
        <w:rFonts w:ascii="Wingdings" w:hAnsi="Wingdings" w:hint="default"/>
      </w:rPr>
    </w:lvl>
    <w:lvl w:ilvl="3" w:tplc="FF725EB2">
      <w:start w:val="1"/>
      <w:numFmt w:val="bullet"/>
      <w:lvlText w:val=""/>
      <w:lvlJc w:val="left"/>
      <w:pPr>
        <w:ind w:left="2880" w:hanging="360"/>
      </w:pPr>
      <w:rPr>
        <w:rFonts w:ascii="Symbol" w:hAnsi="Symbol" w:hint="default"/>
      </w:rPr>
    </w:lvl>
    <w:lvl w:ilvl="4" w:tplc="26026EA2">
      <w:start w:val="1"/>
      <w:numFmt w:val="bullet"/>
      <w:lvlText w:val="o"/>
      <w:lvlJc w:val="left"/>
      <w:pPr>
        <w:ind w:left="3600" w:hanging="360"/>
      </w:pPr>
      <w:rPr>
        <w:rFonts w:ascii="Courier New" w:hAnsi="Courier New" w:hint="default"/>
      </w:rPr>
    </w:lvl>
    <w:lvl w:ilvl="5" w:tplc="C2E0A2BC">
      <w:start w:val="1"/>
      <w:numFmt w:val="bullet"/>
      <w:lvlText w:val=""/>
      <w:lvlJc w:val="left"/>
      <w:pPr>
        <w:ind w:left="4320" w:hanging="360"/>
      </w:pPr>
      <w:rPr>
        <w:rFonts w:ascii="Wingdings" w:hAnsi="Wingdings" w:hint="default"/>
      </w:rPr>
    </w:lvl>
    <w:lvl w:ilvl="6" w:tplc="7562C9AE">
      <w:start w:val="1"/>
      <w:numFmt w:val="bullet"/>
      <w:lvlText w:val=""/>
      <w:lvlJc w:val="left"/>
      <w:pPr>
        <w:ind w:left="5040" w:hanging="360"/>
      </w:pPr>
      <w:rPr>
        <w:rFonts w:ascii="Symbol" w:hAnsi="Symbol" w:hint="default"/>
      </w:rPr>
    </w:lvl>
    <w:lvl w:ilvl="7" w:tplc="993875E0">
      <w:start w:val="1"/>
      <w:numFmt w:val="bullet"/>
      <w:lvlText w:val="o"/>
      <w:lvlJc w:val="left"/>
      <w:pPr>
        <w:ind w:left="5760" w:hanging="360"/>
      </w:pPr>
      <w:rPr>
        <w:rFonts w:ascii="Courier New" w:hAnsi="Courier New" w:hint="default"/>
      </w:rPr>
    </w:lvl>
    <w:lvl w:ilvl="8" w:tplc="903AAC3C">
      <w:start w:val="1"/>
      <w:numFmt w:val="bullet"/>
      <w:lvlText w:val=""/>
      <w:lvlJc w:val="left"/>
      <w:pPr>
        <w:ind w:left="6480" w:hanging="360"/>
      </w:pPr>
      <w:rPr>
        <w:rFonts w:ascii="Wingdings" w:hAnsi="Wingdings" w:hint="default"/>
      </w:rPr>
    </w:lvl>
  </w:abstractNum>
  <w:abstractNum w:abstractNumId="13" w15:restartNumberingAfterBreak="0">
    <w:nsid w:val="41617253"/>
    <w:multiLevelType w:val="hybridMultilevel"/>
    <w:tmpl w:val="4D3ECDA4"/>
    <w:lvl w:ilvl="0" w:tplc="AE9079CC">
      <w:start w:val="1"/>
      <w:numFmt w:val="decimal"/>
      <w:lvlText w:val="%1."/>
      <w:lvlJc w:val="right"/>
      <w:pPr>
        <w:ind w:left="500" w:hanging="180"/>
      </w:pPr>
    </w:lvl>
    <w:lvl w:ilvl="1" w:tplc="0900AA90">
      <w:start w:val="1"/>
      <w:numFmt w:val="decimal"/>
      <w:lvlText w:val="%2."/>
      <w:lvlJc w:val="right"/>
      <w:pPr>
        <w:ind w:left="1000" w:hanging="180"/>
      </w:pPr>
    </w:lvl>
    <w:lvl w:ilvl="2" w:tplc="C8FCF466">
      <w:start w:val="1"/>
      <w:numFmt w:val="decimal"/>
      <w:lvlText w:val="%3."/>
      <w:lvlJc w:val="right"/>
      <w:pPr>
        <w:ind w:left="1500" w:hanging="180"/>
      </w:pPr>
    </w:lvl>
    <w:lvl w:ilvl="3" w:tplc="6EB0E5E4">
      <w:start w:val="1"/>
      <w:numFmt w:val="decimal"/>
      <w:lvlText w:val="%4."/>
      <w:lvlJc w:val="right"/>
      <w:pPr>
        <w:ind w:left="2000" w:hanging="180"/>
      </w:pPr>
    </w:lvl>
    <w:lvl w:ilvl="4" w:tplc="F53A44C2">
      <w:start w:val="1"/>
      <w:numFmt w:val="decimal"/>
      <w:lvlText w:val="%5."/>
      <w:lvlJc w:val="right"/>
      <w:pPr>
        <w:ind w:left="2500" w:hanging="180"/>
      </w:pPr>
    </w:lvl>
    <w:lvl w:ilvl="5" w:tplc="5CDE1AA6">
      <w:start w:val="1"/>
      <w:numFmt w:val="decimal"/>
      <w:lvlText w:val="%6."/>
      <w:lvlJc w:val="right"/>
      <w:pPr>
        <w:ind w:left="3000" w:hanging="180"/>
      </w:pPr>
    </w:lvl>
    <w:lvl w:ilvl="6" w:tplc="D9309382">
      <w:start w:val="1"/>
      <w:numFmt w:val="decimal"/>
      <w:lvlText w:val="%7."/>
      <w:lvlJc w:val="right"/>
      <w:pPr>
        <w:ind w:left="3500" w:hanging="180"/>
      </w:pPr>
    </w:lvl>
    <w:lvl w:ilvl="7" w:tplc="6DDAB672">
      <w:start w:val="1"/>
      <w:numFmt w:val="decimal"/>
      <w:lvlText w:val="%8."/>
      <w:lvlJc w:val="right"/>
      <w:pPr>
        <w:ind w:left="4000" w:hanging="180"/>
      </w:pPr>
    </w:lvl>
    <w:lvl w:ilvl="8" w:tplc="A60A7214">
      <w:start w:val="1"/>
      <w:numFmt w:val="decimal"/>
      <w:lvlText w:val="%9."/>
      <w:lvlJc w:val="right"/>
      <w:pPr>
        <w:ind w:left="4500" w:hanging="180"/>
      </w:pPr>
    </w:lvl>
  </w:abstractNum>
  <w:abstractNum w:abstractNumId="14" w15:restartNumberingAfterBreak="0">
    <w:nsid w:val="44A77F8E"/>
    <w:multiLevelType w:val="hybridMultilevel"/>
    <w:tmpl w:val="8500F776"/>
    <w:lvl w:ilvl="0" w:tplc="08090001">
      <w:start w:val="1"/>
      <w:numFmt w:val="bullet"/>
      <w:lvlText w:val=""/>
      <w:lvlJc w:val="left"/>
      <w:pPr>
        <w:ind w:left="360" w:hanging="360"/>
      </w:pPr>
      <w:rPr>
        <w:rFonts w:ascii="Symbol" w:hAnsi="Symbol" w:hint="default"/>
      </w:rPr>
    </w:lvl>
    <w:lvl w:ilvl="1" w:tplc="A288DD28">
      <w:start w:val="1"/>
      <w:numFmt w:val="bullet"/>
      <w:lvlText w:val="o"/>
      <w:lvlJc w:val="left"/>
      <w:pPr>
        <w:ind w:left="1080" w:hanging="360"/>
      </w:pPr>
      <w:rPr>
        <w:rFonts w:ascii="Courier New" w:hAnsi="Courier New" w:hint="default"/>
      </w:rPr>
    </w:lvl>
    <w:lvl w:ilvl="2" w:tplc="F96A0780">
      <w:start w:val="1"/>
      <w:numFmt w:val="bullet"/>
      <w:lvlText w:val=""/>
      <w:lvlJc w:val="left"/>
      <w:pPr>
        <w:ind w:left="1800" w:hanging="360"/>
      </w:pPr>
      <w:rPr>
        <w:rFonts w:ascii="Wingdings" w:hAnsi="Wingdings" w:hint="default"/>
      </w:rPr>
    </w:lvl>
    <w:lvl w:ilvl="3" w:tplc="F56E265E">
      <w:start w:val="1"/>
      <w:numFmt w:val="bullet"/>
      <w:lvlText w:val=""/>
      <w:lvlJc w:val="left"/>
      <w:pPr>
        <w:ind w:left="2520" w:hanging="360"/>
      </w:pPr>
      <w:rPr>
        <w:rFonts w:ascii="Symbol" w:hAnsi="Symbol" w:hint="default"/>
      </w:rPr>
    </w:lvl>
    <w:lvl w:ilvl="4" w:tplc="61521704">
      <w:start w:val="1"/>
      <w:numFmt w:val="bullet"/>
      <w:lvlText w:val="o"/>
      <w:lvlJc w:val="left"/>
      <w:pPr>
        <w:ind w:left="3240" w:hanging="360"/>
      </w:pPr>
      <w:rPr>
        <w:rFonts w:ascii="Courier New" w:hAnsi="Courier New" w:hint="default"/>
      </w:rPr>
    </w:lvl>
    <w:lvl w:ilvl="5" w:tplc="3A5C4EEA">
      <w:start w:val="1"/>
      <w:numFmt w:val="bullet"/>
      <w:lvlText w:val=""/>
      <w:lvlJc w:val="left"/>
      <w:pPr>
        <w:ind w:left="3960" w:hanging="360"/>
      </w:pPr>
      <w:rPr>
        <w:rFonts w:ascii="Wingdings" w:hAnsi="Wingdings" w:hint="default"/>
      </w:rPr>
    </w:lvl>
    <w:lvl w:ilvl="6" w:tplc="0052C3C4">
      <w:start w:val="1"/>
      <w:numFmt w:val="bullet"/>
      <w:lvlText w:val=""/>
      <w:lvlJc w:val="left"/>
      <w:pPr>
        <w:ind w:left="4680" w:hanging="360"/>
      </w:pPr>
      <w:rPr>
        <w:rFonts w:ascii="Symbol" w:hAnsi="Symbol" w:hint="default"/>
      </w:rPr>
    </w:lvl>
    <w:lvl w:ilvl="7" w:tplc="C62AD0B6">
      <w:start w:val="1"/>
      <w:numFmt w:val="bullet"/>
      <w:lvlText w:val="o"/>
      <w:lvlJc w:val="left"/>
      <w:pPr>
        <w:ind w:left="5400" w:hanging="360"/>
      </w:pPr>
      <w:rPr>
        <w:rFonts w:ascii="Courier New" w:hAnsi="Courier New" w:hint="default"/>
      </w:rPr>
    </w:lvl>
    <w:lvl w:ilvl="8" w:tplc="7252151C">
      <w:start w:val="1"/>
      <w:numFmt w:val="bullet"/>
      <w:lvlText w:val=""/>
      <w:lvlJc w:val="left"/>
      <w:pPr>
        <w:ind w:left="6120" w:hanging="360"/>
      </w:pPr>
      <w:rPr>
        <w:rFonts w:ascii="Wingdings" w:hAnsi="Wingdings" w:hint="default"/>
      </w:rPr>
    </w:lvl>
  </w:abstractNum>
  <w:abstractNum w:abstractNumId="15" w15:restartNumberingAfterBreak="0">
    <w:nsid w:val="4B163CDE"/>
    <w:multiLevelType w:val="hybridMultilevel"/>
    <w:tmpl w:val="C3B214C0"/>
    <w:lvl w:ilvl="0" w:tplc="61EAB65C">
      <w:start w:val="1"/>
      <w:numFmt w:val="bullet"/>
      <w:lvlText w:val="·"/>
      <w:lvlJc w:val="left"/>
      <w:pPr>
        <w:ind w:left="720" w:hanging="360"/>
      </w:pPr>
      <w:rPr>
        <w:rFonts w:ascii="Symbol" w:hAnsi="Symbol" w:hint="default"/>
      </w:rPr>
    </w:lvl>
    <w:lvl w:ilvl="1" w:tplc="91F604DE">
      <w:start w:val="1"/>
      <w:numFmt w:val="bullet"/>
      <w:lvlText w:val="o"/>
      <w:lvlJc w:val="left"/>
      <w:pPr>
        <w:ind w:left="1440" w:hanging="360"/>
      </w:pPr>
      <w:rPr>
        <w:rFonts w:ascii="&quot;Courier New&quot;" w:hAnsi="&quot;Courier New&quot;" w:hint="default"/>
      </w:rPr>
    </w:lvl>
    <w:lvl w:ilvl="2" w:tplc="38C68F14">
      <w:start w:val="1"/>
      <w:numFmt w:val="bullet"/>
      <w:lvlText w:val=""/>
      <w:lvlJc w:val="left"/>
      <w:pPr>
        <w:ind w:left="2160" w:hanging="360"/>
      </w:pPr>
      <w:rPr>
        <w:rFonts w:ascii="Wingdings" w:hAnsi="Wingdings" w:hint="default"/>
      </w:rPr>
    </w:lvl>
    <w:lvl w:ilvl="3" w:tplc="635C51DC">
      <w:start w:val="1"/>
      <w:numFmt w:val="bullet"/>
      <w:lvlText w:val=""/>
      <w:lvlJc w:val="left"/>
      <w:pPr>
        <w:ind w:left="2880" w:hanging="360"/>
      </w:pPr>
      <w:rPr>
        <w:rFonts w:ascii="Symbol" w:hAnsi="Symbol" w:hint="default"/>
      </w:rPr>
    </w:lvl>
    <w:lvl w:ilvl="4" w:tplc="D9BCA7D8">
      <w:start w:val="1"/>
      <w:numFmt w:val="bullet"/>
      <w:lvlText w:val="o"/>
      <w:lvlJc w:val="left"/>
      <w:pPr>
        <w:ind w:left="3600" w:hanging="360"/>
      </w:pPr>
      <w:rPr>
        <w:rFonts w:ascii="Courier New" w:hAnsi="Courier New" w:hint="default"/>
      </w:rPr>
    </w:lvl>
    <w:lvl w:ilvl="5" w:tplc="B4164EF0">
      <w:start w:val="1"/>
      <w:numFmt w:val="bullet"/>
      <w:lvlText w:val=""/>
      <w:lvlJc w:val="left"/>
      <w:pPr>
        <w:ind w:left="4320" w:hanging="360"/>
      </w:pPr>
      <w:rPr>
        <w:rFonts w:ascii="Wingdings" w:hAnsi="Wingdings" w:hint="default"/>
      </w:rPr>
    </w:lvl>
    <w:lvl w:ilvl="6" w:tplc="E3F4C0A0">
      <w:start w:val="1"/>
      <w:numFmt w:val="bullet"/>
      <w:lvlText w:val=""/>
      <w:lvlJc w:val="left"/>
      <w:pPr>
        <w:ind w:left="5040" w:hanging="360"/>
      </w:pPr>
      <w:rPr>
        <w:rFonts w:ascii="Symbol" w:hAnsi="Symbol" w:hint="default"/>
      </w:rPr>
    </w:lvl>
    <w:lvl w:ilvl="7" w:tplc="4AA2A082">
      <w:start w:val="1"/>
      <w:numFmt w:val="bullet"/>
      <w:lvlText w:val="o"/>
      <w:lvlJc w:val="left"/>
      <w:pPr>
        <w:ind w:left="5760" w:hanging="360"/>
      </w:pPr>
      <w:rPr>
        <w:rFonts w:ascii="Courier New" w:hAnsi="Courier New" w:hint="default"/>
      </w:rPr>
    </w:lvl>
    <w:lvl w:ilvl="8" w:tplc="17EE7AB0">
      <w:start w:val="1"/>
      <w:numFmt w:val="bullet"/>
      <w:lvlText w:val=""/>
      <w:lvlJc w:val="left"/>
      <w:pPr>
        <w:ind w:left="6480" w:hanging="360"/>
      </w:pPr>
      <w:rPr>
        <w:rFonts w:ascii="Wingdings" w:hAnsi="Wingdings" w:hint="default"/>
      </w:rPr>
    </w:lvl>
  </w:abstractNum>
  <w:abstractNum w:abstractNumId="16" w15:restartNumberingAfterBreak="0">
    <w:nsid w:val="4DA9141F"/>
    <w:multiLevelType w:val="hybridMultilevel"/>
    <w:tmpl w:val="C66E01EC"/>
    <w:lvl w:ilvl="0" w:tplc="27F442B8">
      <w:start w:val="1"/>
      <w:numFmt w:val="bullet"/>
      <w:lvlText w:val=""/>
      <w:lvlJc w:val="left"/>
      <w:pPr>
        <w:ind w:left="360" w:hanging="360"/>
      </w:pPr>
      <w:rPr>
        <w:rFonts w:ascii="Symbol" w:hAnsi="Symbol" w:hint="default"/>
        <w:color w:val="auto"/>
      </w:rPr>
    </w:lvl>
    <w:lvl w:ilvl="1" w:tplc="A288DD28">
      <w:start w:val="1"/>
      <w:numFmt w:val="bullet"/>
      <w:lvlText w:val="o"/>
      <w:lvlJc w:val="left"/>
      <w:pPr>
        <w:ind w:left="1080" w:hanging="360"/>
      </w:pPr>
      <w:rPr>
        <w:rFonts w:ascii="Courier New" w:hAnsi="Courier New" w:hint="default"/>
      </w:rPr>
    </w:lvl>
    <w:lvl w:ilvl="2" w:tplc="F96A0780">
      <w:start w:val="1"/>
      <w:numFmt w:val="bullet"/>
      <w:lvlText w:val=""/>
      <w:lvlJc w:val="left"/>
      <w:pPr>
        <w:ind w:left="1800" w:hanging="360"/>
      </w:pPr>
      <w:rPr>
        <w:rFonts w:ascii="Wingdings" w:hAnsi="Wingdings" w:hint="default"/>
      </w:rPr>
    </w:lvl>
    <w:lvl w:ilvl="3" w:tplc="F56E265E">
      <w:start w:val="1"/>
      <w:numFmt w:val="bullet"/>
      <w:lvlText w:val=""/>
      <w:lvlJc w:val="left"/>
      <w:pPr>
        <w:ind w:left="2520" w:hanging="360"/>
      </w:pPr>
      <w:rPr>
        <w:rFonts w:ascii="Symbol" w:hAnsi="Symbol" w:hint="default"/>
      </w:rPr>
    </w:lvl>
    <w:lvl w:ilvl="4" w:tplc="61521704">
      <w:start w:val="1"/>
      <w:numFmt w:val="bullet"/>
      <w:lvlText w:val="o"/>
      <w:lvlJc w:val="left"/>
      <w:pPr>
        <w:ind w:left="3240" w:hanging="360"/>
      </w:pPr>
      <w:rPr>
        <w:rFonts w:ascii="Courier New" w:hAnsi="Courier New" w:hint="default"/>
      </w:rPr>
    </w:lvl>
    <w:lvl w:ilvl="5" w:tplc="3A5C4EEA">
      <w:start w:val="1"/>
      <w:numFmt w:val="bullet"/>
      <w:lvlText w:val=""/>
      <w:lvlJc w:val="left"/>
      <w:pPr>
        <w:ind w:left="3960" w:hanging="360"/>
      </w:pPr>
      <w:rPr>
        <w:rFonts w:ascii="Wingdings" w:hAnsi="Wingdings" w:hint="default"/>
      </w:rPr>
    </w:lvl>
    <w:lvl w:ilvl="6" w:tplc="0052C3C4">
      <w:start w:val="1"/>
      <w:numFmt w:val="bullet"/>
      <w:lvlText w:val=""/>
      <w:lvlJc w:val="left"/>
      <w:pPr>
        <w:ind w:left="4680" w:hanging="360"/>
      </w:pPr>
      <w:rPr>
        <w:rFonts w:ascii="Symbol" w:hAnsi="Symbol" w:hint="default"/>
      </w:rPr>
    </w:lvl>
    <w:lvl w:ilvl="7" w:tplc="C62AD0B6">
      <w:start w:val="1"/>
      <w:numFmt w:val="bullet"/>
      <w:lvlText w:val="o"/>
      <w:lvlJc w:val="left"/>
      <w:pPr>
        <w:ind w:left="5400" w:hanging="360"/>
      </w:pPr>
      <w:rPr>
        <w:rFonts w:ascii="Courier New" w:hAnsi="Courier New" w:hint="default"/>
      </w:rPr>
    </w:lvl>
    <w:lvl w:ilvl="8" w:tplc="7252151C">
      <w:start w:val="1"/>
      <w:numFmt w:val="bullet"/>
      <w:lvlText w:val=""/>
      <w:lvlJc w:val="left"/>
      <w:pPr>
        <w:ind w:left="6120" w:hanging="360"/>
      </w:pPr>
      <w:rPr>
        <w:rFonts w:ascii="Wingdings" w:hAnsi="Wingdings" w:hint="default"/>
      </w:rPr>
    </w:lvl>
  </w:abstractNum>
  <w:abstractNum w:abstractNumId="17" w15:restartNumberingAfterBreak="0">
    <w:nsid w:val="4FA241E7"/>
    <w:multiLevelType w:val="hybridMultilevel"/>
    <w:tmpl w:val="1F94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792073"/>
    <w:multiLevelType w:val="hybridMultilevel"/>
    <w:tmpl w:val="3F6EB768"/>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433B74"/>
    <w:multiLevelType w:val="hybridMultilevel"/>
    <w:tmpl w:val="9628EB7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9E31E3"/>
    <w:multiLevelType w:val="hybridMultilevel"/>
    <w:tmpl w:val="2736AB9A"/>
    <w:lvl w:ilvl="0" w:tplc="A2AE55DA">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4B7B6D"/>
    <w:multiLevelType w:val="hybridMultilevel"/>
    <w:tmpl w:val="DF7AD64A"/>
    <w:lvl w:ilvl="0" w:tplc="A31A8A6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E55C7D"/>
    <w:multiLevelType w:val="hybridMultilevel"/>
    <w:tmpl w:val="8772A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AD4F61"/>
    <w:multiLevelType w:val="hybridMultilevel"/>
    <w:tmpl w:val="EA7420AE"/>
    <w:lvl w:ilvl="0" w:tplc="08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907ED4"/>
    <w:multiLevelType w:val="hybridMultilevel"/>
    <w:tmpl w:val="A04E4AA0"/>
    <w:lvl w:ilvl="0" w:tplc="080C0001">
      <w:start w:val="1"/>
      <w:numFmt w:val="bullet"/>
      <w:lvlText w:val=""/>
      <w:lvlJc w:val="left"/>
      <w:pPr>
        <w:ind w:left="720" w:hanging="360"/>
      </w:pPr>
      <w:rPr>
        <w:rFonts w:ascii="Symbol" w:hAnsi="Symbol" w:hint="default"/>
      </w:rPr>
    </w:lvl>
    <w:lvl w:ilvl="1" w:tplc="A288DD28">
      <w:start w:val="1"/>
      <w:numFmt w:val="bullet"/>
      <w:lvlText w:val="o"/>
      <w:lvlJc w:val="left"/>
      <w:pPr>
        <w:ind w:left="1440" w:hanging="360"/>
      </w:pPr>
      <w:rPr>
        <w:rFonts w:ascii="Courier New" w:hAnsi="Courier New" w:hint="default"/>
      </w:rPr>
    </w:lvl>
    <w:lvl w:ilvl="2" w:tplc="F96A0780">
      <w:start w:val="1"/>
      <w:numFmt w:val="bullet"/>
      <w:lvlText w:val=""/>
      <w:lvlJc w:val="left"/>
      <w:pPr>
        <w:ind w:left="2160" w:hanging="360"/>
      </w:pPr>
      <w:rPr>
        <w:rFonts w:ascii="Wingdings" w:hAnsi="Wingdings" w:hint="default"/>
      </w:rPr>
    </w:lvl>
    <w:lvl w:ilvl="3" w:tplc="F56E265E">
      <w:start w:val="1"/>
      <w:numFmt w:val="bullet"/>
      <w:lvlText w:val=""/>
      <w:lvlJc w:val="left"/>
      <w:pPr>
        <w:ind w:left="2880" w:hanging="360"/>
      </w:pPr>
      <w:rPr>
        <w:rFonts w:ascii="Symbol" w:hAnsi="Symbol" w:hint="default"/>
      </w:rPr>
    </w:lvl>
    <w:lvl w:ilvl="4" w:tplc="61521704">
      <w:start w:val="1"/>
      <w:numFmt w:val="bullet"/>
      <w:lvlText w:val="o"/>
      <w:lvlJc w:val="left"/>
      <w:pPr>
        <w:ind w:left="3600" w:hanging="360"/>
      </w:pPr>
      <w:rPr>
        <w:rFonts w:ascii="Courier New" w:hAnsi="Courier New" w:hint="default"/>
      </w:rPr>
    </w:lvl>
    <w:lvl w:ilvl="5" w:tplc="3A5C4EEA">
      <w:start w:val="1"/>
      <w:numFmt w:val="bullet"/>
      <w:lvlText w:val=""/>
      <w:lvlJc w:val="left"/>
      <w:pPr>
        <w:ind w:left="4320" w:hanging="360"/>
      </w:pPr>
      <w:rPr>
        <w:rFonts w:ascii="Wingdings" w:hAnsi="Wingdings" w:hint="default"/>
      </w:rPr>
    </w:lvl>
    <w:lvl w:ilvl="6" w:tplc="0052C3C4">
      <w:start w:val="1"/>
      <w:numFmt w:val="bullet"/>
      <w:lvlText w:val=""/>
      <w:lvlJc w:val="left"/>
      <w:pPr>
        <w:ind w:left="5040" w:hanging="360"/>
      </w:pPr>
      <w:rPr>
        <w:rFonts w:ascii="Symbol" w:hAnsi="Symbol" w:hint="default"/>
      </w:rPr>
    </w:lvl>
    <w:lvl w:ilvl="7" w:tplc="C62AD0B6">
      <w:start w:val="1"/>
      <w:numFmt w:val="bullet"/>
      <w:lvlText w:val="o"/>
      <w:lvlJc w:val="left"/>
      <w:pPr>
        <w:ind w:left="5760" w:hanging="360"/>
      </w:pPr>
      <w:rPr>
        <w:rFonts w:ascii="Courier New" w:hAnsi="Courier New" w:hint="default"/>
      </w:rPr>
    </w:lvl>
    <w:lvl w:ilvl="8" w:tplc="7252151C">
      <w:start w:val="1"/>
      <w:numFmt w:val="bullet"/>
      <w:lvlText w:val=""/>
      <w:lvlJc w:val="left"/>
      <w:pPr>
        <w:ind w:left="6480" w:hanging="360"/>
      </w:pPr>
      <w:rPr>
        <w:rFonts w:ascii="Wingdings" w:hAnsi="Wingdings" w:hint="default"/>
      </w:rPr>
    </w:lvl>
  </w:abstractNum>
  <w:abstractNum w:abstractNumId="25" w15:restartNumberingAfterBreak="0">
    <w:nsid w:val="67D639A6"/>
    <w:multiLevelType w:val="hybridMultilevel"/>
    <w:tmpl w:val="AC4EA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DE7582"/>
    <w:multiLevelType w:val="hybridMultilevel"/>
    <w:tmpl w:val="FCD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16329F"/>
    <w:multiLevelType w:val="hybridMultilevel"/>
    <w:tmpl w:val="82FC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725B1B"/>
    <w:multiLevelType w:val="hybridMultilevel"/>
    <w:tmpl w:val="C98A3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F12CD3"/>
    <w:multiLevelType w:val="hybridMultilevel"/>
    <w:tmpl w:val="8C344766"/>
    <w:lvl w:ilvl="0" w:tplc="6FCECE52">
      <w:start w:val="1"/>
      <w:numFmt w:val="bullet"/>
      <w:lvlText w:val="·"/>
      <w:lvlJc w:val="left"/>
      <w:pPr>
        <w:ind w:left="720" w:hanging="360"/>
      </w:pPr>
      <w:rPr>
        <w:rFonts w:ascii="Symbol" w:hAnsi="Symbol" w:hint="default"/>
      </w:rPr>
    </w:lvl>
    <w:lvl w:ilvl="1" w:tplc="C80E5728">
      <w:start w:val="1"/>
      <w:numFmt w:val="bullet"/>
      <w:lvlText w:val="o"/>
      <w:lvlJc w:val="left"/>
      <w:pPr>
        <w:ind w:left="1440" w:hanging="360"/>
      </w:pPr>
      <w:rPr>
        <w:rFonts w:ascii="&quot;Courier New&quot;" w:hAnsi="&quot;Courier New&quot;" w:hint="default"/>
      </w:rPr>
    </w:lvl>
    <w:lvl w:ilvl="2" w:tplc="1B26FCE8">
      <w:start w:val="1"/>
      <w:numFmt w:val="bullet"/>
      <w:lvlText w:val=""/>
      <w:lvlJc w:val="left"/>
      <w:pPr>
        <w:ind w:left="2160" w:hanging="360"/>
      </w:pPr>
      <w:rPr>
        <w:rFonts w:ascii="Wingdings" w:hAnsi="Wingdings" w:hint="default"/>
      </w:rPr>
    </w:lvl>
    <w:lvl w:ilvl="3" w:tplc="11CE6330">
      <w:start w:val="1"/>
      <w:numFmt w:val="bullet"/>
      <w:lvlText w:val=""/>
      <w:lvlJc w:val="left"/>
      <w:pPr>
        <w:ind w:left="2880" w:hanging="360"/>
      </w:pPr>
      <w:rPr>
        <w:rFonts w:ascii="Symbol" w:hAnsi="Symbol" w:hint="default"/>
      </w:rPr>
    </w:lvl>
    <w:lvl w:ilvl="4" w:tplc="98488344">
      <w:start w:val="1"/>
      <w:numFmt w:val="bullet"/>
      <w:lvlText w:val="o"/>
      <w:lvlJc w:val="left"/>
      <w:pPr>
        <w:ind w:left="3600" w:hanging="360"/>
      </w:pPr>
      <w:rPr>
        <w:rFonts w:ascii="Courier New" w:hAnsi="Courier New" w:hint="default"/>
      </w:rPr>
    </w:lvl>
    <w:lvl w:ilvl="5" w:tplc="5B540048">
      <w:start w:val="1"/>
      <w:numFmt w:val="bullet"/>
      <w:lvlText w:val=""/>
      <w:lvlJc w:val="left"/>
      <w:pPr>
        <w:ind w:left="4320" w:hanging="360"/>
      </w:pPr>
      <w:rPr>
        <w:rFonts w:ascii="Wingdings" w:hAnsi="Wingdings" w:hint="default"/>
      </w:rPr>
    </w:lvl>
    <w:lvl w:ilvl="6" w:tplc="3B909424">
      <w:start w:val="1"/>
      <w:numFmt w:val="bullet"/>
      <w:lvlText w:val=""/>
      <w:lvlJc w:val="left"/>
      <w:pPr>
        <w:ind w:left="5040" w:hanging="360"/>
      </w:pPr>
      <w:rPr>
        <w:rFonts w:ascii="Symbol" w:hAnsi="Symbol" w:hint="default"/>
      </w:rPr>
    </w:lvl>
    <w:lvl w:ilvl="7" w:tplc="B8A8A844">
      <w:start w:val="1"/>
      <w:numFmt w:val="bullet"/>
      <w:lvlText w:val="o"/>
      <w:lvlJc w:val="left"/>
      <w:pPr>
        <w:ind w:left="5760" w:hanging="360"/>
      </w:pPr>
      <w:rPr>
        <w:rFonts w:ascii="Courier New" w:hAnsi="Courier New" w:hint="default"/>
      </w:rPr>
    </w:lvl>
    <w:lvl w:ilvl="8" w:tplc="A526490A">
      <w:start w:val="1"/>
      <w:numFmt w:val="bullet"/>
      <w:lvlText w:val=""/>
      <w:lvlJc w:val="left"/>
      <w:pPr>
        <w:ind w:left="6480" w:hanging="360"/>
      </w:pPr>
      <w:rPr>
        <w:rFonts w:ascii="Wingdings" w:hAnsi="Wingdings" w:hint="default"/>
      </w:rPr>
    </w:lvl>
  </w:abstractNum>
  <w:abstractNum w:abstractNumId="30" w15:restartNumberingAfterBreak="0">
    <w:nsid w:val="7F1E6E18"/>
    <w:multiLevelType w:val="hybridMultilevel"/>
    <w:tmpl w:val="AAE83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9"/>
  </w:num>
  <w:num w:numId="3">
    <w:abstractNumId w:val="15"/>
  </w:num>
  <w:num w:numId="4">
    <w:abstractNumId w:val="25"/>
  </w:num>
  <w:num w:numId="5">
    <w:abstractNumId w:val="10"/>
  </w:num>
  <w:num w:numId="6">
    <w:abstractNumId w:val="4"/>
  </w:num>
  <w:num w:numId="7">
    <w:abstractNumId w:val="17"/>
  </w:num>
  <w:num w:numId="8">
    <w:abstractNumId w:val="11"/>
  </w:num>
  <w:num w:numId="9">
    <w:abstractNumId w:val="26"/>
  </w:num>
  <w:num w:numId="10">
    <w:abstractNumId w:val="19"/>
  </w:num>
  <w:num w:numId="11">
    <w:abstractNumId w:val="2"/>
  </w:num>
  <w:num w:numId="12">
    <w:abstractNumId w:val="21"/>
  </w:num>
  <w:num w:numId="13">
    <w:abstractNumId w:val="28"/>
  </w:num>
  <w:num w:numId="14">
    <w:abstractNumId w:val="9"/>
  </w:num>
  <w:num w:numId="15">
    <w:abstractNumId w:val="6"/>
  </w:num>
  <w:num w:numId="16">
    <w:abstractNumId w:val="0"/>
  </w:num>
  <w:num w:numId="17">
    <w:abstractNumId w:val="1"/>
  </w:num>
  <w:num w:numId="18">
    <w:abstractNumId w:val="27"/>
  </w:num>
  <w:num w:numId="19">
    <w:abstractNumId w:val="20"/>
  </w:num>
  <w:num w:numId="20">
    <w:abstractNumId w:val="5"/>
  </w:num>
  <w:num w:numId="21">
    <w:abstractNumId w:val="30"/>
  </w:num>
  <w:num w:numId="22">
    <w:abstractNumId w:val="7"/>
  </w:num>
  <w:num w:numId="23">
    <w:abstractNumId w:val="23"/>
  </w:num>
  <w:num w:numId="24">
    <w:abstractNumId w:val="13"/>
    <w:lvlOverride w:ilvl="0">
      <w:lvl w:ilvl="0" w:tplc="AE9079CC">
        <w:start w:val="1"/>
        <w:numFmt w:val="bullet"/>
        <w:lvlText w:val=""/>
        <w:lvlJc w:val="right"/>
        <w:pPr>
          <w:ind w:left="360" w:hanging="180"/>
        </w:pPr>
        <w:rPr>
          <w:rFonts w:ascii="Symbol" w:hAnsi="Symbol" w:hint="default"/>
        </w:rPr>
      </w:lvl>
    </w:lvlOverride>
    <w:lvlOverride w:ilvl="1">
      <w:lvl w:ilvl="1" w:tplc="0900AA90" w:tentative="1">
        <w:start w:val="1"/>
        <w:numFmt w:val="bullet"/>
        <w:lvlText w:val="o"/>
        <w:lvlJc w:val="left"/>
        <w:pPr>
          <w:ind w:left="1300" w:hanging="360"/>
        </w:pPr>
        <w:rPr>
          <w:rFonts w:ascii="Courier New" w:hAnsi="Courier New" w:cs="Courier New" w:hint="default"/>
        </w:rPr>
      </w:lvl>
    </w:lvlOverride>
    <w:lvlOverride w:ilvl="2">
      <w:lvl w:ilvl="2" w:tplc="C8FCF466" w:tentative="1">
        <w:start w:val="1"/>
        <w:numFmt w:val="bullet"/>
        <w:lvlText w:val=""/>
        <w:lvlJc w:val="left"/>
        <w:pPr>
          <w:ind w:left="2020" w:hanging="360"/>
        </w:pPr>
        <w:rPr>
          <w:rFonts w:ascii="Wingdings" w:hAnsi="Wingdings" w:hint="default"/>
        </w:rPr>
      </w:lvl>
    </w:lvlOverride>
    <w:lvlOverride w:ilvl="3">
      <w:lvl w:ilvl="3" w:tplc="6EB0E5E4" w:tentative="1">
        <w:start w:val="1"/>
        <w:numFmt w:val="bullet"/>
        <w:lvlText w:val=""/>
        <w:lvlJc w:val="left"/>
        <w:pPr>
          <w:ind w:left="2740" w:hanging="360"/>
        </w:pPr>
        <w:rPr>
          <w:rFonts w:ascii="Symbol" w:hAnsi="Symbol" w:hint="default"/>
        </w:rPr>
      </w:lvl>
    </w:lvlOverride>
    <w:lvlOverride w:ilvl="4">
      <w:lvl w:ilvl="4" w:tplc="F53A44C2" w:tentative="1">
        <w:start w:val="1"/>
        <w:numFmt w:val="bullet"/>
        <w:lvlText w:val="o"/>
        <w:lvlJc w:val="left"/>
        <w:pPr>
          <w:ind w:left="3460" w:hanging="360"/>
        </w:pPr>
        <w:rPr>
          <w:rFonts w:ascii="Courier New" w:hAnsi="Courier New" w:cs="Courier New" w:hint="default"/>
        </w:rPr>
      </w:lvl>
    </w:lvlOverride>
    <w:lvlOverride w:ilvl="5">
      <w:lvl w:ilvl="5" w:tplc="5CDE1AA6" w:tentative="1">
        <w:start w:val="1"/>
        <w:numFmt w:val="bullet"/>
        <w:lvlText w:val=""/>
        <w:lvlJc w:val="left"/>
        <w:pPr>
          <w:ind w:left="4180" w:hanging="360"/>
        </w:pPr>
        <w:rPr>
          <w:rFonts w:ascii="Wingdings" w:hAnsi="Wingdings" w:hint="default"/>
        </w:rPr>
      </w:lvl>
    </w:lvlOverride>
    <w:lvlOverride w:ilvl="6">
      <w:lvl w:ilvl="6" w:tplc="D9309382" w:tentative="1">
        <w:start w:val="1"/>
        <w:numFmt w:val="bullet"/>
        <w:lvlText w:val=""/>
        <w:lvlJc w:val="left"/>
        <w:pPr>
          <w:ind w:left="4900" w:hanging="360"/>
        </w:pPr>
        <w:rPr>
          <w:rFonts w:ascii="Symbol" w:hAnsi="Symbol" w:hint="default"/>
        </w:rPr>
      </w:lvl>
    </w:lvlOverride>
    <w:lvlOverride w:ilvl="7">
      <w:lvl w:ilvl="7" w:tplc="6DDAB672" w:tentative="1">
        <w:start w:val="1"/>
        <w:numFmt w:val="bullet"/>
        <w:lvlText w:val="o"/>
        <w:lvlJc w:val="left"/>
        <w:pPr>
          <w:ind w:left="5620" w:hanging="360"/>
        </w:pPr>
        <w:rPr>
          <w:rFonts w:ascii="Courier New" w:hAnsi="Courier New" w:cs="Courier New" w:hint="default"/>
        </w:rPr>
      </w:lvl>
    </w:lvlOverride>
    <w:lvlOverride w:ilvl="8">
      <w:lvl w:ilvl="8" w:tplc="A60A7214" w:tentative="1">
        <w:start w:val="1"/>
        <w:numFmt w:val="bullet"/>
        <w:lvlText w:val=""/>
        <w:lvlJc w:val="left"/>
        <w:pPr>
          <w:ind w:left="6340" w:hanging="360"/>
        </w:pPr>
        <w:rPr>
          <w:rFonts w:ascii="Wingdings" w:hAnsi="Wingdings" w:hint="default"/>
        </w:rPr>
      </w:lvl>
    </w:lvlOverride>
  </w:num>
  <w:num w:numId="25">
    <w:abstractNumId w:val="3"/>
  </w:num>
  <w:num w:numId="26">
    <w:abstractNumId w:val="24"/>
  </w:num>
  <w:num w:numId="27">
    <w:abstractNumId w:val="18"/>
  </w:num>
  <w:num w:numId="28">
    <w:abstractNumId w:val="14"/>
  </w:num>
  <w:num w:numId="29">
    <w:abstractNumId w:val="16"/>
  </w:num>
  <w:num w:numId="30">
    <w:abstractNumId w:val="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311E6"/>
    <w:rsid w:val="00000B67"/>
    <w:rsid w:val="00026244"/>
    <w:rsid w:val="000C3311"/>
    <w:rsid w:val="000C47EE"/>
    <w:rsid w:val="001044C1"/>
    <w:rsid w:val="00126187"/>
    <w:rsid w:val="001447F3"/>
    <w:rsid w:val="00150129"/>
    <w:rsid w:val="001649EC"/>
    <w:rsid w:val="001977AC"/>
    <w:rsid w:val="001D607A"/>
    <w:rsid w:val="001F35D7"/>
    <w:rsid w:val="002351B4"/>
    <w:rsid w:val="00265A9B"/>
    <w:rsid w:val="00333586"/>
    <w:rsid w:val="00387B96"/>
    <w:rsid w:val="003A17C0"/>
    <w:rsid w:val="003A21C4"/>
    <w:rsid w:val="003A3000"/>
    <w:rsid w:val="003E3B6D"/>
    <w:rsid w:val="003F8B71"/>
    <w:rsid w:val="004068F2"/>
    <w:rsid w:val="00497CDC"/>
    <w:rsid w:val="004D5202"/>
    <w:rsid w:val="005204D0"/>
    <w:rsid w:val="00612C8D"/>
    <w:rsid w:val="006311E6"/>
    <w:rsid w:val="0063228D"/>
    <w:rsid w:val="006439EC"/>
    <w:rsid w:val="00646D7B"/>
    <w:rsid w:val="00663704"/>
    <w:rsid w:val="007065F1"/>
    <w:rsid w:val="00740E54"/>
    <w:rsid w:val="007649CD"/>
    <w:rsid w:val="00777197"/>
    <w:rsid w:val="007B1C0E"/>
    <w:rsid w:val="007F6ADD"/>
    <w:rsid w:val="0089246C"/>
    <w:rsid w:val="00940AF9"/>
    <w:rsid w:val="009E482A"/>
    <w:rsid w:val="009F5550"/>
    <w:rsid w:val="00A761CA"/>
    <w:rsid w:val="00A81741"/>
    <w:rsid w:val="00A83BEB"/>
    <w:rsid w:val="00A96E10"/>
    <w:rsid w:val="00AB59F8"/>
    <w:rsid w:val="00B17F25"/>
    <w:rsid w:val="00B45AE8"/>
    <w:rsid w:val="00B529CD"/>
    <w:rsid w:val="00B7269A"/>
    <w:rsid w:val="00B75C4F"/>
    <w:rsid w:val="00BD2525"/>
    <w:rsid w:val="00C323F2"/>
    <w:rsid w:val="00C33AAF"/>
    <w:rsid w:val="00CD32CA"/>
    <w:rsid w:val="00CD45B7"/>
    <w:rsid w:val="00CE11DA"/>
    <w:rsid w:val="00D00987"/>
    <w:rsid w:val="00D0166B"/>
    <w:rsid w:val="00D174AB"/>
    <w:rsid w:val="00E34C7E"/>
    <w:rsid w:val="00E366DC"/>
    <w:rsid w:val="00E42AEA"/>
    <w:rsid w:val="00E430D9"/>
    <w:rsid w:val="00E81FF7"/>
    <w:rsid w:val="00EC735A"/>
    <w:rsid w:val="00F117D9"/>
    <w:rsid w:val="00F14218"/>
    <w:rsid w:val="00F14719"/>
    <w:rsid w:val="00FB0B48"/>
    <w:rsid w:val="00FC468E"/>
    <w:rsid w:val="17976BF9"/>
    <w:rsid w:val="3E22E670"/>
    <w:rsid w:val="56E93DDF"/>
    <w:rsid w:val="62E0D263"/>
    <w:rsid w:val="77F506F2"/>
    <w:rsid w:val="7D7873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7A1C7E"/>
  <w15:chartTrackingRefBased/>
  <w15:docId w15:val="{F6BABC08-14F3-4A1C-9B0B-EE5FAC6E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List Paragraph12,F5 List Paragraph,Heading 2_sj,Report Para,WinDForce-Letter,List Paragraph (numbered (a),LISTA,L,l"/>
    <w:basedOn w:val="Normal"/>
    <w:link w:val="ListParagraphChar"/>
    <w:uiPriority w:val="34"/>
    <w:qFormat/>
    <w:rsid w:val="006311E6"/>
    <w:pPr>
      <w:ind w:left="720"/>
      <w:contextualSpacing/>
    </w:pPr>
  </w:style>
  <w:style w:type="table" w:styleId="TableGrid">
    <w:name w:val="Table Grid"/>
    <w:basedOn w:val="TableNormal"/>
    <w:uiPriority w:val="39"/>
    <w:rsid w:val="00520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2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C8D"/>
  </w:style>
  <w:style w:type="paragraph" w:styleId="Footer">
    <w:name w:val="footer"/>
    <w:basedOn w:val="Normal"/>
    <w:link w:val="FooterChar"/>
    <w:uiPriority w:val="99"/>
    <w:unhideWhenUsed/>
    <w:rsid w:val="00612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C8D"/>
  </w:style>
  <w:style w:type="paragraph" w:styleId="BalloonText">
    <w:name w:val="Balloon Text"/>
    <w:basedOn w:val="Normal"/>
    <w:link w:val="BalloonTextChar"/>
    <w:uiPriority w:val="99"/>
    <w:semiHidden/>
    <w:unhideWhenUsed/>
    <w:rsid w:val="00F14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218"/>
    <w:rPr>
      <w:rFonts w:ascii="Segoe UI" w:hAnsi="Segoe UI" w:cs="Segoe UI"/>
      <w:sz w:val="18"/>
      <w:szCs w:val="18"/>
    </w:rPr>
  </w:style>
  <w:style w:type="paragraph" w:styleId="Revision">
    <w:name w:val="Revision"/>
    <w:hidden/>
    <w:uiPriority w:val="99"/>
    <w:semiHidden/>
    <w:rsid w:val="00C323F2"/>
    <w:pPr>
      <w:spacing w:after="0" w:line="240" w:lineRule="auto"/>
    </w:pPr>
  </w:style>
  <w:style w:type="character" w:styleId="CommentReference">
    <w:name w:val="annotation reference"/>
    <w:basedOn w:val="DefaultParagraphFont"/>
    <w:uiPriority w:val="99"/>
    <w:semiHidden/>
    <w:unhideWhenUsed/>
    <w:rsid w:val="00C323F2"/>
    <w:rPr>
      <w:sz w:val="16"/>
      <w:szCs w:val="16"/>
    </w:rPr>
  </w:style>
  <w:style w:type="paragraph" w:styleId="CommentText">
    <w:name w:val="annotation text"/>
    <w:basedOn w:val="Normal"/>
    <w:link w:val="CommentTextChar"/>
    <w:uiPriority w:val="99"/>
    <w:semiHidden/>
    <w:unhideWhenUsed/>
    <w:rsid w:val="00C323F2"/>
    <w:pPr>
      <w:spacing w:line="240" w:lineRule="auto"/>
    </w:pPr>
    <w:rPr>
      <w:sz w:val="20"/>
      <w:szCs w:val="20"/>
    </w:rPr>
  </w:style>
  <w:style w:type="character" w:customStyle="1" w:styleId="CommentTextChar">
    <w:name w:val="Comment Text Char"/>
    <w:basedOn w:val="DefaultParagraphFont"/>
    <w:link w:val="CommentText"/>
    <w:uiPriority w:val="99"/>
    <w:semiHidden/>
    <w:rsid w:val="00C323F2"/>
    <w:rPr>
      <w:sz w:val="20"/>
      <w:szCs w:val="20"/>
    </w:rPr>
  </w:style>
  <w:style w:type="paragraph" w:styleId="CommentSubject">
    <w:name w:val="annotation subject"/>
    <w:basedOn w:val="CommentText"/>
    <w:next w:val="CommentText"/>
    <w:link w:val="CommentSubjectChar"/>
    <w:uiPriority w:val="99"/>
    <w:semiHidden/>
    <w:unhideWhenUsed/>
    <w:rsid w:val="00C323F2"/>
    <w:rPr>
      <w:b/>
      <w:bCs/>
    </w:rPr>
  </w:style>
  <w:style w:type="character" w:customStyle="1" w:styleId="CommentSubjectChar">
    <w:name w:val="Comment Subject Char"/>
    <w:basedOn w:val="CommentTextChar"/>
    <w:link w:val="CommentSubject"/>
    <w:uiPriority w:val="99"/>
    <w:semiHidden/>
    <w:rsid w:val="00C323F2"/>
    <w:rPr>
      <w:b/>
      <w:bCs/>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FootnoteText">
    <w:name w:val="footnote text"/>
    <w:aliases w:val="~FootnoteText,Fußnotentext Char,Fußnotentext Char2 Char,Fußnotentext Char1 Char Char,Fußnotentext Char Char Char Char,Fußnotentext Char Char1 Char,Fußnotentext Char2,Fußnotentext Char1 Char,Fußnotentext Char Char Char,WB-Fußnotentext,Char"/>
    <w:basedOn w:val="Normal"/>
    <w:link w:val="FootnoteTextChar"/>
    <w:uiPriority w:val="99"/>
    <w:unhideWhenUsed/>
    <w:qFormat/>
    <w:rsid w:val="001977AC"/>
    <w:pPr>
      <w:spacing w:after="0" w:line="240" w:lineRule="auto"/>
    </w:pPr>
    <w:rPr>
      <w:sz w:val="20"/>
      <w:szCs w:val="20"/>
    </w:rPr>
  </w:style>
  <w:style w:type="character" w:customStyle="1" w:styleId="FootnoteTextChar">
    <w:name w:val="Footnote Text Char"/>
    <w:aliases w:val="~FootnoteText Char,Fußnotentext Char Char,Fußnotentext Char2 Char Char,Fußnotentext Char1 Char Char Char,Fußnotentext Char Char Char Char Char,Fußnotentext Char Char1 Char Char,Fußnotentext Char2 Char1,Fußnotentext Char1 Char Char1"/>
    <w:basedOn w:val="DefaultParagraphFont"/>
    <w:link w:val="FootnoteText"/>
    <w:uiPriority w:val="99"/>
    <w:qFormat/>
    <w:rsid w:val="001977AC"/>
    <w:rPr>
      <w:sz w:val="20"/>
      <w:szCs w:val="20"/>
    </w:rPr>
  </w:style>
  <w:style w:type="character" w:styleId="FootnoteReference">
    <w:name w:val="footnote reference"/>
    <w:aliases w:val="Footnote Reference Superscript,BVI fnr, BVI fnr,Footnote symbol,Nota Char,Char1 Char,(NECG) Footnote Reference Char,fr Char,Appel note de bas de p Char,o Char,Style 6 Char,Signature Ch Char,Footnote reference number,Footnote,Ref"/>
    <w:basedOn w:val="DefaultParagraphFont"/>
    <w:link w:val="Nota"/>
    <w:uiPriority w:val="99"/>
    <w:unhideWhenUsed/>
    <w:qFormat/>
    <w:rsid w:val="001977AC"/>
    <w:rPr>
      <w:vertAlign w:val="superscript"/>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L Char"/>
    <w:basedOn w:val="DefaultParagraphFont"/>
    <w:link w:val="ListParagraph"/>
    <w:uiPriority w:val="34"/>
    <w:qFormat/>
    <w:locked/>
    <w:rsid w:val="001977AC"/>
  </w:style>
  <w:style w:type="paragraph" w:customStyle="1" w:styleId="Text1">
    <w:name w:val="Text 1"/>
    <w:basedOn w:val="Normal"/>
    <w:uiPriority w:val="1"/>
    <w:qFormat/>
    <w:rsid w:val="001977AC"/>
    <w:pPr>
      <w:spacing w:before="120" w:after="120" w:line="240" w:lineRule="auto"/>
      <w:ind w:left="850"/>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977AC"/>
    <w:pPr>
      <w:widowControl w:val="0"/>
      <w:autoSpaceDE w:val="0"/>
      <w:autoSpaceDN w:val="0"/>
      <w:spacing w:after="0" w:line="240" w:lineRule="auto"/>
      <w:ind w:left="107"/>
      <w:jc w:val="both"/>
    </w:pPr>
    <w:rPr>
      <w:rFonts w:ascii="Arial MT" w:eastAsia="Arial MT" w:hAnsi="Arial MT" w:cs="Arial MT"/>
      <w:lang w:val="en-US"/>
    </w:rPr>
  </w:style>
  <w:style w:type="paragraph" w:customStyle="1" w:styleId="Nota">
    <w:name w:val="Nota"/>
    <w:aliases w:val="Char1,(NECG) Footnote Reference,fr,Appel note de bas de p,o,Style 6,Signature Ch, Char1"/>
    <w:basedOn w:val="Normal"/>
    <w:link w:val="FootnoteReference"/>
    <w:uiPriority w:val="99"/>
    <w:rsid w:val="001977AC"/>
    <w:pPr>
      <w:spacing w:line="240" w:lineRule="exact"/>
      <w:jc w:val="both"/>
    </w:pPr>
    <w:rPr>
      <w:vertAlign w:val="superscript"/>
    </w:rPr>
  </w:style>
  <w:style w:type="character" w:styleId="Hyperlink">
    <w:name w:val="Hyperlink"/>
    <w:basedOn w:val="DefaultParagraphFont"/>
    <w:uiPriority w:val="99"/>
    <w:unhideWhenUsed/>
    <w:rsid w:val="001977AC"/>
    <w:rPr>
      <w:color w:val="0000FF"/>
      <w:u w:val="single"/>
    </w:rPr>
  </w:style>
  <w:style w:type="character" w:styleId="Strong">
    <w:name w:val="Strong"/>
    <w:basedOn w:val="DefaultParagraphFont"/>
    <w:uiPriority w:val="22"/>
    <w:qFormat/>
    <w:rsid w:val="001977AC"/>
    <w:rPr>
      <w:b/>
      <w:bCs/>
    </w:rPr>
  </w:style>
  <w:style w:type="character" w:customStyle="1" w:styleId="normaltextrun">
    <w:name w:val="normaltextrun"/>
    <w:basedOn w:val="DefaultParagraphFont"/>
    <w:rsid w:val="00197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6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info/research-and-innovation/strategy/support-policy-making/shaping-eu-research-and-innovation-policy/esir_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social/main.jsp?langId=en&amp;catId=89&amp;newsId=10039&amp;furtherNews=yes" TargetMode="External"/><Relationship Id="rId7" Type="http://schemas.openxmlformats.org/officeDocument/2006/relationships/hyperlink" Target="https://ec.europa.eu/info/sites/default/files/research_and_innovation/funding/documents/ec_rtd_horizon-europe-strategic-plan-2021-24.pdf" TargetMode="External"/><Relationship Id="rId2" Type="http://schemas.openxmlformats.org/officeDocument/2006/relationships/hyperlink" Target="https://ec.europa.eu/social/main.jsp?catId=113&amp;langId=en" TargetMode="External"/><Relationship Id="rId1" Type="http://schemas.openxmlformats.org/officeDocument/2006/relationships/hyperlink" Target="https://ec.europa.eu/social/esde2018" TargetMode="External"/><Relationship Id="rId6" Type="http://schemas.openxmlformats.org/officeDocument/2006/relationships/hyperlink" Target="https://op.europa.eu/webpub/empl/european-pillar-of-social-rights/en/" TargetMode="External"/><Relationship Id="rId5" Type="http://schemas.openxmlformats.org/officeDocument/2006/relationships/hyperlink" Target="https://ec.europa.eu/info/strategy/priorities-2019-2024/economy-works-people/jobs-growth-and-investment/european-pillar-social-rights/european-pillar-social-rights-20-principles_en" TargetMode="External"/><Relationship Id="rId4" Type="http://schemas.openxmlformats.org/officeDocument/2006/relationships/hyperlink" Target="https://ec.europa.eu/info/strategy/priorities-2019-2024/economy-works-people/jobs-growth-and-investment/european-pillar-social-rights/european-pillar-social-rights-action-plan_en"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b="1"/>
              <a:t>Horizon2020 - Future</a:t>
            </a:r>
            <a:r>
              <a:rPr lang="en-US" sz="800" b="1" baseline="0"/>
              <a:t> of </a:t>
            </a:r>
            <a:r>
              <a:rPr lang="en-US" sz="800" b="1"/>
              <a:t>Work-related </a:t>
            </a:r>
            <a:r>
              <a:rPr lang="en-US" sz="800" b="1" baseline="0"/>
              <a:t> f</a:t>
            </a:r>
            <a:r>
              <a:rPr lang="en-US" sz="800" b="1"/>
              <a:t>unding per segment (million EUR)</a:t>
            </a:r>
          </a:p>
        </c:rich>
      </c:tx>
      <c:layout>
        <c:manualLayout>
          <c:xMode val="edge"/>
          <c:yMode val="edge"/>
          <c:x val="0.23386221294363257"/>
          <c:y val="3.404392764857888E-2"/>
        </c:manualLayout>
      </c:layout>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8876094888987232"/>
          <c:y val="0.20600213288002953"/>
          <c:w val="0.40571158390461004"/>
          <c:h val="0.66990794938820009"/>
        </c:manualLayout>
      </c:layout>
      <c:barChart>
        <c:barDir val="bar"/>
        <c:grouping val="clustered"/>
        <c:varyColors val="0"/>
        <c:ser>
          <c:idx val="0"/>
          <c:order val="0"/>
          <c:tx>
            <c:strRef>
              <c:f>Sheet1!$B$1</c:f>
              <c:strCache>
                <c:ptCount val="1"/>
                <c:pt idx="0">
                  <c:v>Funding per segment</c:v>
                </c:pt>
              </c:strCache>
            </c:strRef>
          </c:tx>
          <c:spPr>
            <a:solidFill>
              <a:srgbClr val="7030A0"/>
            </a:solidFill>
            <a:ln w="19050">
              <a:solidFill>
                <a:schemeClr val="lt1"/>
              </a:solidFill>
            </a:ln>
            <a:effectLst/>
          </c:spPr>
          <c:invertIfNegative val="0"/>
          <c:dLbls>
            <c:dLbl>
              <c:idx val="0"/>
              <c:layout/>
              <c:tx>
                <c:rich>
                  <a:bodyPr/>
                  <a:lstStyle/>
                  <a:p>
                    <a:r>
                      <a:rPr lang="en-US"/>
                      <a:t>36</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C676-4177-A5F9-0E1D43C75543}"/>
                </c:ext>
              </c:extLst>
            </c:dLbl>
            <c:dLbl>
              <c:idx val="1"/>
              <c:layout/>
              <c:tx>
                <c:rich>
                  <a:bodyPr/>
                  <a:lstStyle/>
                  <a:p>
                    <a:r>
                      <a:rPr lang="en-US"/>
                      <a:t>95</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676-4177-A5F9-0E1D43C75543}"/>
                </c:ext>
              </c:extLst>
            </c:dLbl>
            <c:dLbl>
              <c:idx val="2"/>
              <c:layout/>
              <c:tx>
                <c:rich>
                  <a:bodyPr/>
                  <a:lstStyle/>
                  <a:p>
                    <a:r>
                      <a:rPr lang="en-US"/>
                      <a:t>100</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C676-4177-A5F9-0E1D43C75543}"/>
                </c:ext>
              </c:extLst>
            </c:dLbl>
            <c:dLbl>
              <c:idx val="3"/>
              <c:layout/>
              <c:tx>
                <c:rich>
                  <a:bodyPr/>
                  <a:lstStyle/>
                  <a:p>
                    <a:r>
                      <a:rPr lang="en-US"/>
                      <a:t>149</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C676-4177-A5F9-0E1D43C75543}"/>
                </c:ext>
              </c:extLst>
            </c:dLbl>
            <c:dLbl>
              <c:idx val="4"/>
              <c:layout/>
              <c:tx>
                <c:rich>
                  <a:bodyPr/>
                  <a:lstStyle/>
                  <a:p>
                    <a:r>
                      <a:rPr lang="en-US"/>
                      <a:t>189</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C676-4177-A5F9-0E1D43C75543}"/>
                </c:ext>
              </c:extLst>
            </c:dLbl>
            <c:dLbl>
              <c:idx val="5"/>
              <c:layout/>
              <c:tx>
                <c:rich>
                  <a:bodyPr/>
                  <a:lstStyle/>
                  <a:p>
                    <a:r>
                      <a:rPr lang="en-US"/>
                      <a:t>275</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C676-4177-A5F9-0E1D43C75543}"/>
                </c:ext>
              </c:extLst>
            </c:dLbl>
            <c:dLbl>
              <c:idx val="6"/>
              <c:layout/>
              <c:tx>
                <c:rich>
                  <a:bodyPr/>
                  <a:lstStyle/>
                  <a:p>
                    <a:r>
                      <a:rPr lang="en-US"/>
                      <a:t>292</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C676-4177-A5F9-0E1D43C75543}"/>
                </c:ext>
              </c:extLst>
            </c:dLbl>
            <c:dLbl>
              <c:idx val="7"/>
              <c:layout/>
              <c:tx>
                <c:rich>
                  <a:bodyPr/>
                  <a:lstStyle/>
                  <a:p>
                    <a:r>
                      <a:rPr lang="en-US"/>
                      <a:t>336</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C676-4177-A5F9-0E1D43C75543}"/>
                </c:ext>
              </c:extLst>
            </c:dLbl>
            <c:dLbl>
              <c:idx val="8"/>
              <c:layout/>
              <c:tx>
                <c:rich>
                  <a:bodyPr/>
                  <a:lstStyle/>
                  <a:p>
                    <a:r>
                      <a:rPr lang="en-US"/>
                      <a:t>418</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C676-4177-A5F9-0E1D43C7554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Worker's representation and worker's rights</c:v>
                </c:pt>
                <c:pt idx="1">
                  <c:v>Inclusive workplaces</c:v>
                </c:pt>
                <c:pt idx="2">
                  <c:v>Digital skills, business models and employment</c:v>
                </c:pt>
                <c:pt idx="3">
                  <c:v>Mental health in education and the workplace</c:v>
                </c:pt>
                <c:pt idx="4">
                  <c:v>Education and lifelong learning</c:v>
                </c:pt>
                <c:pt idx="5">
                  <c:v>Building a sustainable economy</c:v>
                </c:pt>
                <c:pt idx="6">
                  <c:v>Social systems and welfare for the 21st century</c:v>
                </c:pt>
                <c:pt idx="7">
                  <c:v>Enabling and supporting innovation</c:v>
                </c:pt>
                <c:pt idx="8">
                  <c:v>Industrial competitiveness and automation</c:v>
                </c:pt>
              </c:strCache>
            </c:strRef>
          </c:cat>
          <c:val>
            <c:numRef>
              <c:f>Sheet1!$B$2:$B$10</c:f>
              <c:numCache>
                <c:formatCode>_-* #,##0.00\ [$€-80C]_-;\-* #,##0.00\ [$€-80C]_-;_-* "-"??\ [$€-80C]_-;_-@_-</c:formatCode>
                <c:ptCount val="9"/>
                <c:pt idx="0">
                  <c:v>35519807.300000004</c:v>
                </c:pt>
                <c:pt idx="1">
                  <c:v>94870610.139999986</c:v>
                </c:pt>
                <c:pt idx="2">
                  <c:v>99665074.150000006</c:v>
                </c:pt>
                <c:pt idx="3">
                  <c:v>149311287.05999997</c:v>
                </c:pt>
                <c:pt idx="4">
                  <c:v>189459286.07000005</c:v>
                </c:pt>
                <c:pt idx="5">
                  <c:v>274544173.60999995</c:v>
                </c:pt>
                <c:pt idx="6">
                  <c:v>291822572.19999993</c:v>
                </c:pt>
                <c:pt idx="7">
                  <c:v>335599756.2299999</c:v>
                </c:pt>
                <c:pt idx="8">
                  <c:v>417906551.97999966</c:v>
                </c:pt>
              </c:numCache>
            </c:numRef>
          </c:val>
          <c:extLst>
            <c:ext xmlns:c16="http://schemas.microsoft.com/office/drawing/2014/chart" uri="{C3380CC4-5D6E-409C-BE32-E72D297353CC}">
              <c16:uniqueId val="{00000009-C676-4177-A5F9-0E1D43C75543}"/>
            </c:ext>
          </c:extLst>
        </c:ser>
        <c:dLbls>
          <c:dLblPos val="outEnd"/>
          <c:showLegendKey val="0"/>
          <c:showVal val="1"/>
          <c:showCatName val="0"/>
          <c:showSerName val="0"/>
          <c:showPercent val="0"/>
          <c:showBubbleSize val="0"/>
        </c:dLbls>
        <c:gapWidth val="150"/>
        <c:axId val="845012072"/>
        <c:axId val="982943856"/>
      </c:barChart>
      <c:valAx>
        <c:axId val="982943856"/>
        <c:scaling>
          <c:orientation val="minMax"/>
        </c:scaling>
        <c:delete val="1"/>
        <c:axPos val="b"/>
        <c:majorGridlines>
          <c:spPr>
            <a:ln w="9525" cap="flat" cmpd="sng" algn="ctr">
              <a:solidFill>
                <a:schemeClr val="tx1">
                  <a:lumMod val="15000"/>
                  <a:lumOff val="85000"/>
                </a:schemeClr>
              </a:solidFill>
              <a:round/>
            </a:ln>
            <a:effectLst/>
          </c:spPr>
        </c:majorGridlines>
        <c:numFmt formatCode="_-* #,##0.00\ [$€-80C]_-;\-* #,##0.00\ [$€-80C]_-;_-* &quot;-&quot;??\ [$€-80C]_-;_-@_-" sourceLinked="1"/>
        <c:majorTickMark val="out"/>
        <c:minorTickMark val="none"/>
        <c:tickLblPos val="nextTo"/>
        <c:crossAx val="845012072"/>
        <c:crosses val="autoZero"/>
        <c:crossBetween val="between"/>
      </c:valAx>
      <c:catAx>
        <c:axId val="84501207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982943856"/>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D24022E66C1540A3B1E037465E0CE3" ma:contentTypeVersion="6" ma:contentTypeDescription="Create a new document." ma:contentTypeScope="" ma:versionID="1a358eede45ef319d2a2e8bd5026bf47">
  <xsd:schema xmlns:xsd="http://www.w3.org/2001/XMLSchema" xmlns:xs="http://www.w3.org/2001/XMLSchema" xmlns:p="http://schemas.microsoft.com/office/2006/metadata/properties" xmlns:ns2="d07530ff-ae8d-4383-9420-67306a016191" xmlns:ns3="d0b4669b-3562-445a-a428-e501203eb641" targetNamespace="http://schemas.microsoft.com/office/2006/metadata/properties" ma:root="true" ma:fieldsID="22c344dc126d5dfb151c55654ddf30d0" ns2:_="" ns3:_="">
    <xsd:import namespace="d07530ff-ae8d-4383-9420-67306a016191"/>
    <xsd:import namespace="d0b4669b-3562-445a-a428-e501203eb6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530ff-ae8d-4383-9420-67306a016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4669b-3562-445a-a428-e501203eb6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C826965-69EF-4A60-A410-607E09DEAD39}">
  <ds:schemaRefs>
    <ds:schemaRef ds:uri="http://purl.org/dc/elements/1.1/"/>
    <ds:schemaRef ds:uri="http://purl.org/dc/dcmitype/"/>
    <ds:schemaRef ds:uri="http://schemas.microsoft.com/office/infopath/2007/PartnerControls"/>
    <ds:schemaRef ds:uri="d0b4669b-3562-445a-a428-e501203eb641"/>
    <ds:schemaRef ds:uri="http://purl.org/dc/terms/"/>
    <ds:schemaRef ds:uri="http://schemas.microsoft.com/office/2006/metadata/properties"/>
    <ds:schemaRef ds:uri="d07530ff-ae8d-4383-9420-67306a016191"/>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C7CFFF1-D090-4099-A8D0-CB38C907B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530ff-ae8d-4383-9420-67306a016191"/>
    <ds:schemaRef ds:uri="d0b4669b-3562-445a-a428-e501203eb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72583-F406-4ECA-8812-6DD1EFCD29A0}">
  <ds:schemaRefs>
    <ds:schemaRef ds:uri="http://schemas.microsoft.com/sharepoint/v3/contenttype/forms"/>
  </ds:schemaRefs>
</ds:datastoreItem>
</file>

<file path=customXml/itemProps4.xml><?xml version="1.0" encoding="utf-8"?>
<ds:datastoreItem xmlns:ds="http://schemas.openxmlformats.org/officeDocument/2006/customXml" ds:itemID="{2A36A436-8660-49DF-93CC-00F5A0540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6214</Words>
  <Characters>34986</Characters>
  <Application>Microsoft Office Word</Application>
  <DocSecurity>0</DocSecurity>
  <Lines>714</Lines>
  <Paragraphs>321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ALEIXO Manuel (RTD)</dc:creator>
  <cp:keywords/>
  <dc:description/>
  <cp:lastModifiedBy>SEIP Anna (DEVCO)</cp:lastModifiedBy>
  <cp:revision>3</cp:revision>
  <cp:lastPrinted>2022-04-05T13:27:00Z</cp:lastPrinted>
  <dcterms:created xsi:type="dcterms:W3CDTF">2022-05-12T09:54:00Z</dcterms:created>
  <dcterms:modified xsi:type="dcterms:W3CDTF">2022-05-12T14:34:00Z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0x01010043D24022E66C1540A3B1E037465E0CE3</vt:lpwstr>
  </property>
  <property fmtid="{D5CDD505-2E9C-101B-9397-08002B2CF9AE}" pid="3" name="MSIP_Label_6bd9ddd1-4d20-43f6-abfa-fc3c07406f94_Enabled">
    <vt:lpwstr>true</vt:lpwstr>
  </property>
  <property fmtid="{D5CDD505-2E9C-101B-9397-08002B2CF9AE}" pid="4" name="MSIP_Label_6bd9ddd1-4d20-43f6-abfa-fc3c07406f94_SetDate">
    <vt:lpwstr>2022-04-07T15:26:43Z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6db6ca9c-87fa-41cb-b3d0-964c130b0797</vt:lpwstr>
  </property>
  <property fmtid="{D5CDD505-2E9C-101B-9397-08002B2CF9AE}" pid="9" name="MSIP_Label_6bd9ddd1-4d20-43f6-abfa-fc3c07406f94_ContentBits">
    <vt:lpwstr>0</vt:lpwstr>
  </property>
</Properties>
</file>